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3890C20E"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w:t>
      </w:r>
      <w:r w:rsidR="00CF0C34">
        <w:rPr>
          <w:rFonts w:cs="Arial"/>
          <w:sz w:val="24"/>
          <w:szCs w:val="24"/>
          <w:lang w:val="de-DE"/>
        </w:rPr>
        <w:t>TSG</w:t>
      </w:r>
      <w:r w:rsidR="004F3CA1">
        <w:rPr>
          <w:rFonts w:cs="Arial"/>
          <w:sz w:val="24"/>
          <w:szCs w:val="24"/>
          <w:lang w:val="de-DE"/>
        </w:rPr>
        <w:t>-</w:t>
      </w:r>
      <w:r w:rsidRPr="00DB3907">
        <w:rPr>
          <w:rFonts w:cs="Arial"/>
          <w:sz w:val="24"/>
          <w:szCs w:val="24"/>
          <w:lang w:val="de-DE"/>
        </w:rPr>
        <w:t xml:space="preserve">RAN WG4 </w:t>
      </w:r>
      <w:r w:rsidR="00BE483D">
        <w:rPr>
          <w:rFonts w:cs="Arial"/>
          <w:sz w:val="24"/>
          <w:szCs w:val="24"/>
          <w:lang w:val="de-DE"/>
        </w:rPr>
        <w:t xml:space="preserve">Meeting </w:t>
      </w:r>
      <w:r>
        <w:rPr>
          <w:rFonts w:cs="Arial"/>
          <w:sz w:val="24"/>
          <w:szCs w:val="24"/>
          <w:lang w:val="de-DE"/>
        </w:rPr>
        <w:t>#</w:t>
      </w:r>
      <w:r w:rsidR="000A34FE">
        <w:rPr>
          <w:rFonts w:cs="Arial"/>
          <w:sz w:val="24"/>
          <w:szCs w:val="24"/>
          <w:lang w:val="de-DE"/>
        </w:rPr>
        <w:t>10</w:t>
      </w:r>
      <w:r w:rsidR="00BE483D">
        <w:rPr>
          <w:rFonts w:cs="Arial"/>
          <w:sz w:val="24"/>
          <w:szCs w:val="24"/>
          <w:lang w:val="de-DE"/>
        </w:rPr>
        <w:t>8</w:t>
      </w:r>
      <w:r w:rsidRPr="00DB3907">
        <w:rPr>
          <w:rFonts w:cs="Arial"/>
          <w:sz w:val="24"/>
          <w:szCs w:val="24"/>
          <w:lang w:val="de-DE"/>
        </w:rPr>
        <w:tab/>
      </w:r>
      <w:r w:rsidR="001C7538" w:rsidRPr="001C7538">
        <w:rPr>
          <w:rFonts w:cs="Arial"/>
          <w:sz w:val="24"/>
          <w:szCs w:val="24"/>
          <w:lang w:val="de-DE"/>
        </w:rPr>
        <w:t>R4-23</w:t>
      </w:r>
      <w:r w:rsidR="00F57CA5">
        <w:rPr>
          <w:rFonts w:cs="Arial"/>
          <w:sz w:val="24"/>
          <w:szCs w:val="24"/>
          <w:lang w:val="de-DE"/>
        </w:rPr>
        <w:t>1</w:t>
      </w:r>
      <w:r w:rsidR="00B93A7F">
        <w:rPr>
          <w:rFonts w:cs="Arial"/>
          <w:sz w:val="24"/>
          <w:szCs w:val="24"/>
          <w:lang w:val="de-DE"/>
        </w:rPr>
        <w:t>3822</w:t>
      </w:r>
    </w:p>
    <w:p w14:paraId="41669A5F" w14:textId="0D63AEE6" w:rsidR="00B916B9" w:rsidRPr="00DB3907" w:rsidRDefault="00F57CA5" w:rsidP="00E864EA">
      <w:pPr>
        <w:pStyle w:val="Header"/>
        <w:rPr>
          <w:rFonts w:cs="Arial"/>
          <w:sz w:val="24"/>
          <w:szCs w:val="24"/>
        </w:rPr>
      </w:pPr>
      <w:r w:rsidRPr="00F57CA5">
        <w:rPr>
          <w:rFonts w:cs="Arial"/>
          <w:sz w:val="24"/>
          <w:szCs w:val="24"/>
        </w:rPr>
        <w:t>Toulouse, France, August 22</w:t>
      </w:r>
      <w:r w:rsidRPr="00F57CA5">
        <w:rPr>
          <w:rFonts w:cs="Arial"/>
          <w:sz w:val="24"/>
          <w:szCs w:val="24"/>
          <w:vertAlign w:val="superscript"/>
        </w:rPr>
        <w:t>nd</w:t>
      </w:r>
      <w:r w:rsidRPr="00F57CA5">
        <w:rPr>
          <w:rFonts w:cs="Arial"/>
          <w:sz w:val="24"/>
          <w:szCs w:val="24"/>
        </w:rPr>
        <w:t xml:space="preserve"> – August 26</w:t>
      </w:r>
      <w:r w:rsidRPr="00F57CA5">
        <w:rPr>
          <w:rFonts w:cs="Arial"/>
          <w:sz w:val="24"/>
          <w:szCs w:val="24"/>
          <w:vertAlign w:val="superscript"/>
        </w:rPr>
        <w:t>th</w:t>
      </w:r>
      <w:r w:rsidRPr="00F57CA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2EFCB0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10301">
        <w:rPr>
          <w:rFonts w:ascii="Arial" w:hAnsi="Arial"/>
          <w:sz w:val="24"/>
          <w:lang w:val="en-US"/>
        </w:rPr>
        <w:t>9.</w:t>
      </w:r>
      <w:r w:rsidR="00F03460">
        <w:rPr>
          <w:rFonts w:ascii="Arial" w:hAnsi="Arial"/>
          <w:sz w:val="24"/>
          <w:lang w:val="en-US"/>
        </w:rPr>
        <w:t>4</w:t>
      </w:r>
      <w:r w:rsidR="00010301">
        <w:rPr>
          <w:rFonts w:ascii="Arial" w:hAnsi="Arial"/>
          <w:sz w:val="24"/>
          <w:lang w:val="en-US"/>
        </w:rPr>
        <w:t>.</w:t>
      </w:r>
      <w:r w:rsidR="00BA340D">
        <w:rPr>
          <w:rFonts w:ascii="Arial" w:hAnsi="Arial"/>
          <w:sz w:val="24"/>
          <w:lang w:val="en-US"/>
        </w:rPr>
        <w:t>3</w:t>
      </w:r>
    </w:p>
    <w:p w14:paraId="1E1C2FD0" w14:textId="448AEB76"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r w:rsidR="00F03460">
        <w:rPr>
          <w:rFonts w:ascii="Arial" w:hAnsi="Arial"/>
          <w:sz w:val="24"/>
          <w:lang w:val="en-US"/>
        </w:rPr>
        <w:t xml:space="preserve">, </w:t>
      </w:r>
      <w:proofErr w:type="spellStart"/>
      <w:r w:rsidR="00F03460">
        <w:rPr>
          <w:rFonts w:ascii="Arial" w:hAnsi="Arial"/>
          <w:sz w:val="24"/>
          <w:lang w:val="en-US"/>
        </w:rPr>
        <w:t>Viasat</w:t>
      </w:r>
      <w:proofErr w:type="spellEnd"/>
    </w:p>
    <w:p w14:paraId="2BA7EB09" w14:textId="60B0DA60"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1C7538">
        <w:rPr>
          <w:rFonts w:ascii="Arial" w:hAnsi="Arial"/>
          <w:sz w:val="24"/>
          <w:lang w:val="en-US"/>
        </w:rPr>
        <w:t xml:space="preserve">IoT NTN Extended L-band UE </w:t>
      </w:r>
      <w:r w:rsidR="00762F90">
        <w:rPr>
          <w:rFonts w:ascii="Arial" w:hAnsi="Arial"/>
          <w:sz w:val="24"/>
          <w:lang w:val="en-US"/>
        </w:rPr>
        <w:t>R</w:t>
      </w:r>
      <w:r w:rsidR="001C7538">
        <w:rPr>
          <w:rFonts w:ascii="Arial" w:hAnsi="Arial"/>
          <w:sz w:val="24"/>
          <w:lang w:val="en-US"/>
        </w:rPr>
        <w:t>equirements</w:t>
      </w:r>
    </w:p>
    <w:p w14:paraId="013F978F" w14:textId="2FE571C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54151">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E7913D2" w14:textId="5ACFDCD4" w:rsidR="006B6836" w:rsidRDefault="00584E6B" w:rsidP="009011AF">
      <w:r>
        <w:t>RAN#99 approved a New Work Item for the specification of a new 3GPP LTE band addressing the MSS Extended L-band,</w:t>
      </w:r>
      <w:r w:rsidR="007A0DB8">
        <w:t xml:space="preserve"> with frequency range of 1518-1525 MHz DL and 16</w:t>
      </w:r>
      <w:r w:rsidR="00563C85">
        <w:t xml:space="preserve">68-1675 </w:t>
      </w:r>
      <w:proofErr w:type="spellStart"/>
      <w:r w:rsidR="00563C85">
        <w:t>Mhz</w:t>
      </w:r>
      <w:proofErr w:type="spellEnd"/>
      <w:r w:rsidR="00563C85">
        <w:t xml:space="preserve"> UL,</w:t>
      </w:r>
      <w:r>
        <w:t xml:space="preserve"> </w:t>
      </w:r>
      <w:r w:rsidR="00563C85">
        <w:t>focusing on</w:t>
      </w:r>
      <w:r>
        <w:t xml:space="preserve"> IoT NTN</w:t>
      </w:r>
      <w:r w:rsidR="00563C85">
        <w:t xml:space="preserve"> support (Cat M1 and Cat NB1, NB2)</w:t>
      </w:r>
      <w:r w:rsidR="00240083">
        <w:t xml:space="preserve"> [1]</w:t>
      </w:r>
      <w:r w:rsidR="007A0DB8">
        <w:t>.</w:t>
      </w:r>
    </w:p>
    <w:p w14:paraId="73578828" w14:textId="4BFFA646" w:rsidR="00B83793" w:rsidRDefault="00B83793" w:rsidP="009011AF">
      <w:r>
        <w:t xml:space="preserve">The need for </w:t>
      </w:r>
      <w:r w:rsidR="007F3ABE">
        <w:t>further</w:t>
      </w:r>
      <w:r>
        <w:t xml:space="preserve"> discussion of additional UE blocking requirements was identified during discussion at RAN4#106-bis-e [2].</w:t>
      </w:r>
    </w:p>
    <w:p w14:paraId="2C951BCF" w14:textId="667B2F20" w:rsidR="007F3ABE" w:rsidRDefault="00F03460" w:rsidP="009011AF">
      <w:r>
        <w:t xml:space="preserve">The discussion has further continued during </w:t>
      </w:r>
      <w:r w:rsidR="00B344F3">
        <w:t xml:space="preserve">RAN4#107, but </w:t>
      </w:r>
      <w:proofErr w:type="gramStart"/>
      <w:r w:rsidR="00B344F3">
        <w:t>a number of</w:t>
      </w:r>
      <w:proofErr w:type="gramEnd"/>
      <w:r w:rsidR="00B344F3">
        <w:t xml:space="preserve"> items are still left open.</w:t>
      </w:r>
    </w:p>
    <w:p w14:paraId="10BC7887" w14:textId="1B61028D" w:rsidR="002D1392" w:rsidRDefault="002D1392" w:rsidP="009011AF">
      <w:r>
        <w:t>In this document, we wish to pr</w:t>
      </w:r>
      <w:r w:rsidR="00C456B4">
        <w:t xml:space="preserve">opose an approach to </w:t>
      </w:r>
      <w:r w:rsidR="00291A1D">
        <w:t>UE RF requirements</w:t>
      </w:r>
      <w:r w:rsidR="00B344F3">
        <w:t xml:space="preserve">, including UE blocking requirements </w:t>
      </w:r>
      <w:r w:rsidR="00291A1D">
        <w:t>based on recommendations from</w:t>
      </w:r>
      <w:r w:rsidR="00864FFD">
        <w:t xml:space="preserve"> ECC Report 26</w:t>
      </w:r>
      <w:r w:rsidR="00C456B4">
        <w:t xml:space="preserve">3, that could provide a solution to addressing the performance issues due to blocking </w:t>
      </w:r>
      <w:r w:rsidR="00AA3D1F">
        <w:t>and out-of-band emissions from base stations in adjacent bands to the Extended L-band DL</w:t>
      </w:r>
      <w:r w:rsidR="005F4518">
        <w:t xml:space="preserve">, whilst maintaining the assumption that </w:t>
      </w:r>
      <w:r w:rsidR="001A0927">
        <w:t>the full 7 MHz of DL band will be available to the NTN operator</w:t>
      </w:r>
      <w:r w:rsidR="00D651C0">
        <w:t>.</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3A80462B" w14:textId="598418AB" w:rsidR="00051698" w:rsidRDefault="00B178CA" w:rsidP="001703E5">
      <w:r>
        <w:t xml:space="preserve">Although the initial focus of the New IoT NTN Extended L-band WID was proposed for </w:t>
      </w:r>
      <w:proofErr w:type="gramStart"/>
      <w:r>
        <w:t>Region</w:t>
      </w:r>
      <w:proofErr w:type="gramEnd"/>
      <w:r>
        <w:t xml:space="preserve"> 1 [1], with the intent of simplifying the work, in practice the MSS Extended L-band generally has worldwide applicability, with some limited exceptions or specific considerations.  Therefore, a more general set of baseline assumptions for UE requirements needs to be established.</w:t>
      </w:r>
    </w:p>
    <w:p w14:paraId="3BB33F99" w14:textId="4079AC3B" w:rsidR="00F15E2E" w:rsidRDefault="00F15E2E" w:rsidP="001703E5">
      <w:pPr>
        <w:rPr>
          <w:b/>
          <w:bCs/>
          <w:lang w:val="en-US"/>
        </w:rPr>
      </w:pPr>
      <w:r>
        <w:rPr>
          <w:b/>
          <w:bCs/>
          <w:lang w:val="en-US"/>
        </w:rPr>
        <w:t xml:space="preserve">Observation 1: </w:t>
      </w:r>
      <w:r w:rsidRPr="00051698">
        <w:rPr>
          <w:b/>
          <w:bCs/>
          <w:lang w:val="en-US"/>
        </w:rPr>
        <w:t xml:space="preserve">Although the initial focus </w:t>
      </w:r>
      <w:r>
        <w:rPr>
          <w:b/>
          <w:bCs/>
          <w:lang w:val="en-US"/>
        </w:rPr>
        <w:t xml:space="preserve">proposed in the </w:t>
      </w:r>
      <w:r w:rsidRPr="00051698">
        <w:rPr>
          <w:b/>
          <w:bCs/>
          <w:lang w:val="en-US"/>
        </w:rPr>
        <w:t xml:space="preserve">WID was Region 1 [1], the MSS Extended L-band </w:t>
      </w:r>
      <w:r>
        <w:rPr>
          <w:b/>
          <w:bCs/>
          <w:lang w:val="en-US"/>
        </w:rPr>
        <w:t>broadly</w:t>
      </w:r>
      <w:r w:rsidRPr="00051698">
        <w:rPr>
          <w:b/>
          <w:bCs/>
          <w:lang w:val="en-US"/>
        </w:rPr>
        <w:t xml:space="preserve"> has worldwide applicability,</w:t>
      </w:r>
      <w:r>
        <w:rPr>
          <w:b/>
          <w:bCs/>
          <w:lang w:val="en-US"/>
        </w:rPr>
        <w:t xml:space="preserve"> with limited exceptions in specific countries.</w:t>
      </w:r>
    </w:p>
    <w:p w14:paraId="1B469E1C" w14:textId="719F0878" w:rsidR="005279C9" w:rsidRPr="005279C9" w:rsidRDefault="005279C9" w:rsidP="001703E5">
      <w:r>
        <w:rPr>
          <w:lang w:val="en-US"/>
        </w:rPr>
        <w:t xml:space="preserve">However, the number and list of TN bands in scope for coexistence doesn’t change very much </w:t>
      </w:r>
      <w:r w:rsidR="00FE1B22">
        <w:rPr>
          <w:lang w:val="en-US"/>
        </w:rPr>
        <w:t>compared to just Region 1 scope</w:t>
      </w:r>
      <w:r w:rsidR="00B16BF4">
        <w:rPr>
          <w:lang w:val="en-US"/>
        </w:rPr>
        <w:t xml:space="preserve">, since the </w:t>
      </w:r>
      <w:r w:rsidR="00E80A21">
        <w:rPr>
          <w:lang w:val="en-US"/>
        </w:rPr>
        <w:t xml:space="preserve">IMT block ends globally at 1517 </w:t>
      </w:r>
      <w:proofErr w:type="spellStart"/>
      <w:r w:rsidR="00E80A21">
        <w:rPr>
          <w:lang w:val="en-US"/>
        </w:rPr>
        <w:t>MHz.</w:t>
      </w:r>
      <w:proofErr w:type="spellEnd"/>
    </w:p>
    <w:p w14:paraId="30737E7F" w14:textId="00B916BD" w:rsidR="00F15E2E" w:rsidRDefault="00AE522E" w:rsidP="001703E5">
      <w:pPr>
        <w:rPr>
          <w:lang w:val="en-US"/>
        </w:rPr>
      </w:pPr>
      <w:r>
        <w:rPr>
          <w:lang w:val="en-US"/>
        </w:rPr>
        <w:t>It can also be assumed that t</w:t>
      </w:r>
      <w:r w:rsidR="00933303">
        <w:rPr>
          <w:lang w:val="en-US"/>
        </w:rPr>
        <w:t xml:space="preserve">he TN-NTN coexistence assumptions </w:t>
      </w:r>
      <w:r>
        <w:rPr>
          <w:lang w:val="en-US"/>
        </w:rPr>
        <w:t xml:space="preserve">in TR 38.863 </w:t>
      </w:r>
      <w:r w:rsidR="00F15E2E">
        <w:rPr>
          <w:lang w:val="en-US"/>
        </w:rPr>
        <w:t>applicable for NTN bands 256 and 255 can also be considered valid for Extended L-band.  Therefore, the general set of requirements, including baseline blocking requirements from band 255 could be reused.</w:t>
      </w:r>
    </w:p>
    <w:p w14:paraId="283754EA" w14:textId="703F67C6" w:rsidR="004C0699" w:rsidRDefault="004C0699" w:rsidP="001703E5">
      <w:pPr>
        <w:rPr>
          <w:lang w:val="en-US"/>
        </w:rPr>
      </w:pPr>
      <w:r>
        <w:rPr>
          <w:b/>
          <w:bCs/>
          <w:lang w:val="en-US"/>
        </w:rPr>
        <w:t>Proposal 1:</w:t>
      </w:r>
      <w:r w:rsidR="00830716">
        <w:rPr>
          <w:b/>
          <w:bCs/>
          <w:lang w:val="en-US"/>
        </w:rPr>
        <w:t xml:space="preserve"> R</w:t>
      </w:r>
      <w:r>
        <w:rPr>
          <w:b/>
          <w:bCs/>
          <w:lang w:val="en-US"/>
        </w:rPr>
        <w:t>eus</w:t>
      </w:r>
      <w:r w:rsidR="007D5BC6">
        <w:rPr>
          <w:b/>
          <w:bCs/>
          <w:lang w:val="en-US"/>
        </w:rPr>
        <w:t>e</w:t>
      </w:r>
      <w:r>
        <w:rPr>
          <w:b/>
          <w:bCs/>
          <w:lang w:val="en-US"/>
        </w:rPr>
        <w:t xml:space="preserve"> IoT NTN band 255 core RF requirements as a baseline</w:t>
      </w:r>
      <w:r w:rsidR="007D5BC6">
        <w:rPr>
          <w:b/>
          <w:bCs/>
          <w:lang w:val="en-US"/>
        </w:rPr>
        <w:t xml:space="preserve">.  FFS whether </w:t>
      </w:r>
      <w:r w:rsidR="00830716">
        <w:rPr>
          <w:b/>
          <w:bCs/>
          <w:lang w:val="en-US"/>
        </w:rPr>
        <w:t>the additional receiver blocking requirements to address coexistence with TN bands ending at 1517 MHz and 1512 MHz, as recommended by ECC Report 263</w:t>
      </w:r>
      <w:r w:rsidR="007D5BC6">
        <w:rPr>
          <w:b/>
          <w:bCs/>
          <w:lang w:val="en-US"/>
        </w:rPr>
        <w:t xml:space="preserve"> and 299 should be handled as additional requirements or superseding the baseline band 255 requirements.</w:t>
      </w:r>
    </w:p>
    <w:p w14:paraId="0B559C4B" w14:textId="04F7E856" w:rsidR="004C0699" w:rsidRDefault="004C0699" w:rsidP="001703E5">
      <w:pPr>
        <w:rPr>
          <w:lang w:val="en-US"/>
        </w:rPr>
      </w:pPr>
      <w:r>
        <w:rPr>
          <w:lang w:val="en-US"/>
        </w:rPr>
        <w:t xml:space="preserve">It should also be noted that general UE RF requirements for extended L-band </w:t>
      </w:r>
      <w:r w:rsidR="00932A8D">
        <w:rPr>
          <w:lang w:val="en-US"/>
        </w:rPr>
        <w:t>in the ECC/CEPT countries and other countries adopting ETSI requirements can be based on ETSI EN 301</w:t>
      </w:r>
      <w:r w:rsidR="003E74A7">
        <w:rPr>
          <w:lang w:val="en-US"/>
        </w:rPr>
        <w:t xml:space="preserve"> 68</w:t>
      </w:r>
      <w:r w:rsidR="000975A6">
        <w:rPr>
          <w:lang w:val="en-US"/>
        </w:rPr>
        <w:t>1</w:t>
      </w:r>
      <w:r w:rsidR="003E74A7">
        <w:rPr>
          <w:lang w:val="en-US"/>
        </w:rPr>
        <w:t xml:space="preserve"> [6].</w:t>
      </w:r>
    </w:p>
    <w:p w14:paraId="37E43B34" w14:textId="78146427" w:rsidR="000975A6" w:rsidRPr="000975A6" w:rsidRDefault="000975A6" w:rsidP="000975A6">
      <w:pPr>
        <w:rPr>
          <w:b/>
          <w:bCs/>
          <w:lang w:val="en-US"/>
        </w:rPr>
      </w:pPr>
      <w:r>
        <w:rPr>
          <w:b/>
          <w:bCs/>
          <w:lang w:val="en-US"/>
        </w:rPr>
        <w:t xml:space="preserve">Proposal 2: </w:t>
      </w:r>
      <w:r w:rsidRPr="000975A6">
        <w:rPr>
          <w:b/>
          <w:bCs/>
          <w:lang w:val="en-US"/>
        </w:rPr>
        <w:t>Consider additional UE requirements for ECC countries and any other applicable countries based on ETSI EN 301 681.</w:t>
      </w:r>
      <w:r w:rsidRPr="000975A6">
        <w:rPr>
          <w:b/>
          <w:bCs/>
          <w:lang w:val="en-US"/>
        </w:rPr>
        <w:br/>
      </w:r>
    </w:p>
    <w:p w14:paraId="66BB190C" w14:textId="6DC16E52" w:rsidR="0002725B" w:rsidRDefault="0002725B" w:rsidP="001703E5">
      <w:pPr>
        <w:rPr>
          <w:lang w:val="en-US"/>
        </w:rPr>
      </w:pPr>
      <w:r>
        <w:rPr>
          <w:lang w:val="en-US"/>
        </w:rPr>
        <w:t>ECC Report 299</w:t>
      </w:r>
      <w:r w:rsidR="00CF14BC">
        <w:rPr>
          <w:lang w:val="en-US"/>
        </w:rPr>
        <w:t>, also confirms the identification of additional blocking requirements for MSS receivers</w:t>
      </w:r>
      <w:r w:rsidR="00291A1D">
        <w:rPr>
          <w:lang w:val="en-US"/>
        </w:rPr>
        <w:t xml:space="preserve"> at least at 1520 MHz</w:t>
      </w:r>
      <w:r>
        <w:rPr>
          <w:lang w:val="en-US"/>
        </w:rPr>
        <w:t>:</w:t>
      </w:r>
    </w:p>
    <w:p w14:paraId="6ACAE36E" w14:textId="253ABA80" w:rsidR="00CF14BC" w:rsidRDefault="00CF14BC" w:rsidP="00CF14BC">
      <w:pPr>
        <w:jc w:val="center"/>
        <w:rPr>
          <w:lang w:val="en-US"/>
        </w:rPr>
      </w:pPr>
      <w:r>
        <w:rPr>
          <w:noProof/>
        </w:rPr>
        <w:lastRenderedPageBreak/>
        <w:drawing>
          <wp:inline distT="0" distB="0" distL="0" distR="0" wp14:anchorId="591177DF" wp14:editId="527EA45F">
            <wp:extent cx="4807585" cy="763243"/>
            <wp:effectExtent l="38100" t="38100" r="88265" b="94615"/>
            <wp:docPr id="9" name="Picture 9" descr="A picture containing text, font, screenshot, inform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font, screenshot, information&#10;&#10;Description automatically generated"/>
                    <pic:cNvPicPr/>
                  </pic:nvPicPr>
                  <pic:blipFill>
                    <a:blip r:embed="rId11"/>
                    <a:stretch>
                      <a:fillRect/>
                    </a:stretch>
                  </pic:blipFill>
                  <pic:spPr>
                    <a:xfrm>
                      <a:off x="0" y="0"/>
                      <a:ext cx="4830405" cy="766866"/>
                    </a:xfrm>
                    <a:prstGeom prst="rect">
                      <a:avLst/>
                    </a:prstGeom>
                    <a:effectLst>
                      <a:outerShdw blurRad="50800" dist="38100" dir="2700000" algn="tl" rotWithShape="0">
                        <a:prstClr val="black">
                          <a:alpha val="40000"/>
                        </a:prstClr>
                      </a:outerShdw>
                    </a:effectLst>
                  </pic:spPr>
                </pic:pic>
              </a:graphicData>
            </a:graphic>
          </wp:inline>
        </w:drawing>
      </w:r>
    </w:p>
    <w:p w14:paraId="252C236A" w14:textId="4AE6921A" w:rsidR="000C25FB" w:rsidRDefault="000C25FB" w:rsidP="001703E5">
      <w:pPr>
        <w:rPr>
          <w:lang w:val="en-US"/>
        </w:rPr>
      </w:pPr>
      <w:r>
        <w:rPr>
          <w:lang w:val="en-US"/>
        </w:rPr>
        <w:t xml:space="preserve">ECC Report 263 </w:t>
      </w:r>
      <w:r w:rsidR="00646F9E">
        <w:rPr>
          <w:lang w:val="en-US"/>
        </w:rPr>
        <w:t xml:space="preserve">stipulates </w:t>
      </w:r>
      <w:proofErr w:type="gramStart"/>
      <w:r w:rsidR="00646F9E">
        <w:rPr>
          <w:lang w:val="en-US"/>
        </w:rPr>
        <w:t>a number of</w:t>
      </w:r>
      <w:proofErr w:type="gramEnd"/>
      <w:r w:rsidR="00646F9E">
        <w:rPr>
          <w:lang w:val="en-US"/>
        </w:rPr>
        <w:t xml:space="preserve"> possible measures to improve coexistence between IMT and MSS systems</w:t>
      </w:r>
      <w:r w:rsidR="00291A1D">
        <w:rPr>
          <w:lang w:val="en-US"/>
        </w:rPr>
        <w:t xml:space="preserve">, including the introduction of additional </w:t>
      </w:r>
      <w:r w:rsidR="00AA0118">
        <w:rPr>
          <w:lang w:val="en-US"/>
        </w:rPr>
        <w:t>receiver blocking requirements for the MSS UE near the band edge</w:t>
      </w:r>
      <w:r w:rsidR="00646F9E">
        <w:rPr>
          <w:lang w:val="en-US"/>
        </w:rPr>
        <w:t>:</w:t>
      </w:r>
    </w:p>
    <w:p w14:paraId="4EEAAD03" w14:textId="629F6B97" w:rsidR="00646F9E" w:rsidRDefault="00BA52C3" w:rsidP="00041B57">
      <w:pPr>
        <w:jc w:val="center"/>
        <w:rPr>
          <w:lang w:val="en-US"/>
        </w:rPr>
      </w:pPr>
      <w:r>
        <w:rPr>
          <w:noProof/>
        </w:rPr>
        <w:drawing>
          <wp:inline distT="0" distB="0" distL="0" distR="0" wp14:anchorId="18EF7220" wp14:editId="0AE74F7A">
            <wp:extent cx="4989756" cy="1317511"/>
            <wp:effectExtent l="38100" t="38100" r="97155" b="92710"/>
            <wp:docPr id="13" name="Picture 13" descr="A picture containing text, font, screenshot,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font, screenshot, document&#10;&#10;Description automatically generated"/>
                    <pic:cNvPicPr/>
                  </pic:nvPicPr>
                  <pic:blipFill>
                    <a:blip r:embed="rId12"/>
                    <a:stretch>
                      <a:fillRect/>
                    </a:stretch>
                  </pic:blipFill>
                  <pic:spPr>
                    <a:xfrm>
                      <a:off x="0" y="0"/>
                      <a:ext cx="5008404" cy="1322435"/>
                    </a:xfrm>
                    <a:prstGeom prst="rect">
                      <a:avLst/>
                    </a:prstGeom>
                    <a:effectLst>
                      <a:outerShdw blurRad="50800" dist="38100" dir="2700000" algn="tl" rotWithShape="0">
                        <a:prstClr val="black">
                          <a:alpha val="40000"/>
                        </a:prstClr>
                      </a:outerShdw>
                    </a:effectLst>
                  </pic:spPr>
                </pic:pic>
              </a:graphicData>
            </a:graphic>
          </wp:inline>
        </w:drawing>
      </w:r>
    </w:p>
    <w:p w14:paraId="47D07200" w14:textId="1D6F143F" w:rsidR="0023187B" w:rsidRDefault="0023187B" w:rsidP="001703E5">
      <w:pPr>
        <w:rPr>
          <w:lang w:val="en-US"/>
        </w:rPr>
      </w:pPr>
      <w:r>
        <w:rPr>
          <w:lang w:val="en-US"/>
        </w:rPr>
        <w:t>Specifically, ECC Report 263 recommends:</w:t>
      </w:r>
    </w:p>
    <w:p w14:paraId="496876AD" w14:textId="7D47F47C" w:rsidR="0023187B" w:rsidRDefault="0023187B" w:rsidP="0023187B">
      <w:pPr>
        <w:jc w:val="center"/>
        <w:rPr>
          <w:lang w:val="en-US"/>
        </w:rPr>
      </w:pPr>
      <w:r>
        <w:rPr>
          <w:noProof/>
        </w:rPr>
        <w:drawing>
          <wp:inline distT="0" distB="0" distL="0" distR="0" wp14:anchorId="4C7B3D72" wp14:editId="3909B434">
            <wp:extent cx="5315585" cy="449818"/>
            <wp:effectExtent l="38100" t="38100" r="94615" b="1028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27172" cy="450799"/>
                    </a:xfrm>
                    <a:prstGeom prst="rect">
                      <a:avLst/>
                    </a:prstGeom>
                    <a:effectLst>
                      <a:outerShdw blurRad="50800" dist="38100" dir="2700000" algn="tl" rotWithShape="0">
                        <a:prstClr val="black">
                          <a:alpha val="40000"/>
                        </a:prstClr>
                      </a:outerShdw>
                    </a:effectLst>
                  </pic:spPr>
                </pic:pic>
              </a:graphicData>
            </a:graphic>
          </wp:inline>
        </w:drawing>
      </w:r>
    </w:p>
    <w:p w14:paraId="7A3242B1" w14:textId="73DE77DF" w:rsidR="004C0699" w:rsidRDefault="004C0699" w:rsidP="001703E5">
      <w:pPr>
        <w:rPr>
          <w:lang w:val="en-US"/>
        </w:rPr>
      </w:pPr>
      <w:r>
        <w:rPr>
          <w:b/>
          <w:bCs/>
          <w:lang w:val="en-US"/>
        </w:rPr>
        <w:t>Observation 2: ECC Reports 263 and 299 identify the benefit of specifying additional receiver blocking requirements in the MSS UE to further protect from blocking signals from terrestrial base stations in adjacent band.</w:t>
      </w:r>
      <w:r>
        <w:rPr>
          <w:b/>
          <w:bCs/>
          <w:lang w:val="en-US"/>
        </w:rPr>
        <w:br/>
      </w:r>
    </w:p>
    <w:p w14:paraId="15537CFC" w14:textId="39F27CDC" w:rsidR="009B7027" w:rsidRDefault="00BC7117" w:rsidP="001703E5">
      <w:pPr>
        <w:rPr>
          <w:lang w:val="en-US"/>
        </w:rPr>
      </w:pPr>
      <w:r>
        <w:rPr>
          <w:lang w:val="en-US"/>
        </w:rPr>
        <w:t xml:space="preserve">Another key aspect to </w:t>
      </w:r>
      <w:proofErr w:type="gramStart"/>
      <w:r>
        <w:rPr>
          <w:lang w:val="en-US"/>
        </w:rPr>
        <w:t>take into account</w:t>
      </w:r>
      <w:proofErr w:type="gramEnd"/>
      <w:r>
        <w:rPr>
          <w:lang w:val="en-US"/>
        </w:rPr>
        <w:t xml:space="preserve"> is the expected UE implementation.  Given the adjacency of the Extended L-band DL (1518-1525 MHz) with the band 255 DL (1525-1559 MHz), it is quite reasonable to expect that, for UE that plan to support Extended L-band, these will also support the existing Band 255.  In this scenario, it is reasonable to assume that both bands will be supported</w:t>
      </w:r>
      <w:r w:rsidR="00F004B7">
        <w:rPr>
          <w:lang w:val="en-US"/>
        </w:rPr>
        <w:t xml:space="preserve"> at least in the DL (receive) side with a single combined RF frontend filter (253+255)</w:t>
      </w:r>
      <w:r w:rsidR="008F324F">
        <w:rPr>
          <w:lang w:val="en-US"/>
        </w:rPr>
        <w:t>.</w:t>
      </w:r>
    </w:p>
    <w:p w14:paraId="226FA8FE" w14:textId="65215D06" w:rsidR="00B71B56" w:rsidRDefault="00E141C0" w:rsidP="001703E5">
      <w:pPr>
        <w:rPr>
          <w:b/>
          <w:bCs/>
          <w:lang w:val="en-US"/>
        </w:rPr>
      </w:pPr>
      <w:r>
        <w:rPr>
          <w:b/>
          <w:bCs/>
          <w:lang w:val="en-US"/>
        </w:rPr>
        <w:t>Observation</w:t>
      </w:r>
      <w:r w:rsidR="00050B9A">
        <w:rPr>
          <w:b/>
          <w:bCs/>
          <w:lang w:val="en-US"/>
        </w:rPr>
        <w:t xml:space="preserve"> 3</w:t>
      </w:r>
      <w:r>
        <w:rPr>
          <w:b/>
          <w:bCs/>
          <w:lang w:val="en-US"/>
        </w:rPr>
        <w:t xml:space="preserve">: It is generally expected that NTN UE </w:t>
      </w:r>
      <w:r w:rsidR="00183ECF">
        <w:rPr>
          <w:b/>
          <w:bCs/>
          <w:lang w:val="en-US"/>
        </w:rPr>
        <w:t>supporting Extended L-band (Band 253) will also support Band 255, therefore it is reasonable to assume that a common Rx frontend filter will be used for the DL of 253+255</w:t>
      </w:r>
      <w:r w:rsidR="008F324F">
        <w:rPr>
          <w:b/>
          <w:bCs/>
          <w:lang w:val="en-US"/>
        </w:rPr>
        <w:t xml:space="preserve"> combined.</w:t>
      </w:r>
    </w:p>
    <w:p w14:paraId="3E5A79CD" w14:textId="41A4021F" w:rsidR="009A0573" w:rsidRDefault="00FF6130" w:rsidP="001703E5">
      <w:pPr>
        <w:rPr>
          <w:lang w:val="en-US"/>
        </w:rPr>
      </w:pPr>
      <w:r>
        <w:rPr>
          <w:lang w:val="en-US"/>
        </w:rPr>
        <w:t xml:space="preserve">To address some of the issues with blocking and interference from OOBE from TN base stations, the </w:t>
      </w:r>
      <w:r w:rsidRPr="00FF6130">
        <w:rPr>
          <w:lang w:val="en-US"/>
        </w:rPr>
        <w:t>R4-2309506</w:t>
      </w:r>
      <w:r>
        <w:rPr>
          <w:lang w:val="en-US"/>
        </w:rPr>
        <w:t xml:space="preserve"> paper submitted at </w:t>
      </w:r>
      <w:r w:rsidR="000121E8">
        <w:rPr>
          <w:lang w:val="en-US"/>
        </w:rPr>
        <w:t xml:space="preserve">RAN4#107 proposes, as an option, to specify two </w:t>
      </w:r>
      <w:r w:rsidR="00F970FF">
        <w:rPr>
          <w:lang w:val="en-US"/>
        </w:rPr>
        <w:t xml:space="preserve">new NTN bands (instead of a single one), one covering the full DL 1518-1525 MHz range of Extended L-band, one covering a reduced range </w:t>
      </w:r>
      <w:r w:rsidR="00F139E5">
        <w:rPr>
          <w:lang w:val="en-US"/>
        </w:rPr>
        <w:t>stopping at 152</w:t>
      </w:r>
      <w:r w:rsidR="00004A62">
        <w:rPr>
          <w:lang w:val="en-US"/>
        </w:rPr>
        <w:t>1</w:t>
      </w:r>
      <w:r w:rsidR="00F139E5">
        <w:rPr>
          <w:lang w:val="en-US"/>
        </w:rPr>
        <w:t xml:space="preserve"> MHz</w:t>
      </w:r>
      <w:r w:rsidR="00004A62">
        <w:rPr>
          <w:lang w:val="en-US"/>
        </w:rPr>
        <w:t xml:space="preserve">, </w:t>
      </w:r>
      <w:r w:rsidR="002C2368">
        <w:rPr>
          <w:lang w:val="en-US"/>
        </w:rPr>
        <w:t>which would effectively reduce</w:t>
      </w:r>
      <w:r w:rsidR="00004A62">
        <w:rPr>
          <w:lang w:val="en-US"/>
        </w:rPr>
        <w:t xml:space="preserve"> the available DL spectrum </w:t>
      </w:r>
      <w:r w:rsidR="002C2368">
        <w:rPr>
          <w:lang w:val="en-US"/>
        </w:rPr>
        <w:t xml:space="preserve">from 7 MHz to only 4 </w:t>
      </w:r>
      <w:proofErr w:type="spellStart"/>
      <w:r w:rsidR="002C2368">
        <w:rPr>
          <w:lang w:val="en-US"/>
        </w:rPr>
        <w:t>MHz.</w:t>
      </w:r>
      <w:proofErr w:type="spellEnd"/>
    </w:p>
    <w:p w14:paraId="7E2F9F1A" w14:textId="2FC11E31" w:rsidR="00F139E5" w:rsidRDefault="00F139E5" w:rsidP="001703E5">
      <w:pPr>
        <w:rPr>
          <w:lang w:val="en-US"/>
        </w:rPr>
      </w:pPr>
      <w:r>
        <w:rPr>
          <w:lang w:val="en-US"/>
        </w:rPr>
        <w:t xml:space="preserve">This has two problems, </w:t>
      </w:r>
      <w:r w:rsidR="008920BB">
        <w:rPr>
          <w:lang w:val="en-US"/>
        </w:rPr>
        <w:t>as</w:t>
      </w:r>
      <w:r w:rsidR="002B67F9">
        <w:rPr>
          <w:lang w:val="en-US"/>
        </w:rPr>
        <w:t xml:space="preserve"> noted</w:t>
      </w:r>
      <w:r>
        <w:rPr>
          <w:lang w:val="en-US"/>
        </w:rPr>
        <w:t xml:space="preserve"> by </w:t>
      </w:r>
      <w:r w:rsidRPr="00F139E5">
        <w:rPr>
          <w:lang w:val="en-US"/>
        </w:rPr>
        <w:t>R4-2309506</w:t>
      </w:r>
      <w:r w:rsidR="00004A62">
        <w:rPr>
          <w:lang w:val="en-US"/>
        </w:rPr>
        <w:t xml:space="preserve"> itself:</w:t>
      </w:r>
    </w:p>
    <w:p w14:paraId="3E7A9215" w14:textId="77777777" w:rsidR="00B94C45" w:rsidRDefault="002C2368" w:rsidP="00004A62">
      <w:pPr>
        <w:pStyle w:val="ListParagraph"/>
        <w:numPr>
          <w:ilvl w:val="0"/>
          <w:numId w:val="21"/>
        </w:numPr>
        <w:rPr>
          <w:lang w:val="en-US"/>
        </w:rPr>
      </w:pPr>
      <w:r>
        <w:rPr>
          <w:lang w:val="en-US"/>
        </w:rPr>
        <w:t xml:space="preserve">It would rob the new NTN band </w:t>
      </w:r>
      <w:r w:rsidR="008920BB">
        <w:rPr>
          <w:lang w:val="en-US"/>
        </w:rPr>
        <w:t>of 3 MHz of spectrum (</w:t>
      </w:r>
      <w:proofErr w:type="gramStart"/>
      <w:r w:rsidR="008920BB">
        <w:rPr>
          <w:lang w:val="en-US"/>
        </w:rPr>
        <w:t>i.e.</w:t>
      </w:r>
      <w:proofErr w:type="gramEnd"/>
      <w:r w:rsidR="008920BB">
        <w:rPr>
          <w:lang w:val="en-US"/>
        </w:rPr>
        <w:t xml:space="preserve"> roughly 43%), which, given the already comparatively small spectrum allocations to satellite services, would have</w:t>
      </w:r>
      <w:r w:rsidR="00B94C45">
        <w:rPr>
          <w:lang w:val="en-US"/>
        </w:rPr>
        <w:t xml:space="preserve"> extremely damaging effects.</w:t>
      </w:r>
    </w:p>
    <w:p w14:paraId="735738C3" w14:textId="77777777" w:rsidR="002400D3" w:rsidRDefault="00B94C45" w:rsidP="00004A62">
      <w:pPr>
        <w:pStyle w:val="ListParagraph"/>
        <w:numPr>
          <w:ilvl w:val="0"/>
          <w:numId w:val="21"/>
        </w:numPr>
        <w:rPr>
          <w:lang w:val="en-US"/>
        </w:rPr>
      </w:pPr>
      <w:r>
        <w:rPr>
          <w:lang w:val="en-US"/>
        </w:rPr>
        <w:t>It would cause fragmentation in the ecosystem and unnecessary extra work in the spec</w:t>
      </w:r>
      <w:r w:rsidR="00587BE1">
        <w:rPr>
          <w:lang w:val="en-US"/>
        </w:rPr>
        <w:t>.</w:t>
      </w:r>
    </w:p>
    <w:p w14:paraId="0F5FBEA2" w14:textId="1A814243" w:rsidR="0033371E" w:rsidRDefault="002400D3" w:rsidP="002400D3">
      <w:pPr>
        <w:rPr>
          <w:lang w:val="en-US"/>
        </w:rPr>
      </w:pPr>
      <w:r>
        <w:rPr>
          <w:lang w:val="en-US"/>
        </w:rPr>
        <w:t xml:space="preserve">On the second point, the </w:t>
      </w:r>
      <w:r w:rsidRPr="002400D3">
        <w:rPr>
          <w:lang w:val="en-US"/>
        </w:rPr>
        <w:t>R4-2309506</w:t>
      </w:r>
      <w:r>
        <w:rPr>
          <w:lang w:val="en-US"/>
        </w:rPr>
        <w:t xml:space="preserve"> paper itself notes that, even in the case where some UE might not support the full band, but opt to support only a reduce subset, </w:t>
      </w:r>
      <w:r w:rsidR="00A53563">
        <w:rPr>
          <w:lang w:val="en-US"/>
        </w:rPr>
        <w:t xml:space="preserve">in practice the RF frontend would likely be common, and thus </w:t>
      </w:r>
      <w:r w:rsidR="0033371E">
        <w:rPr>
          <w:lang w:val="en-US"/>
        </w:rPr>
        <w:t xml:space="preserve">support the full range of the band. Quoted below from </w:t>
      </w:r>
      <w:r w:rsidR="0033371E" w:rsidRPr="002400D3">
        <w:rPr>
          <w:lang w:val="en-US"/>
        </w:rPr>
        <w:t>R4-2309506</w:t>
      </w:r>
      <w:r w:rsidR="0033371E">
        <w:rPr>
          <w:lang w:val="en-US"/>
        </w:rPr>
        <w:t>:</w:t>
      </w:r>
    </w:p>
    <w:p w14:paraId="751265C1" w14:textId="681882D3" w:rsidR="00004A62" w:rsidRDefault="00A53563" w:rsidP="002400D3">
      <w:pPr>
        <w:rPr>
          <w:i/>
          <w:iCs/>
          <w:lang w:val="en-US"/>
        </w:rPr>
      </w:pPr>
      <w:r w:rsidRPr="0033371E">
        <w:rPr>
          <w:i/>
          <w:iCs/>
          <w:lang w:val="en-US"/>
        </w:rPr>
        <w:t>“</w:t>
      </w:r>
      <w:r w:rsidRPr="0033371E">
        <w:rPr>
          <w:i/>
          <w:iCs/>
          <w:lang w:val="en-US"/>
        </w:rPr>
        <w:t xml:space="preserve">With a desire to minimize UE fragmentation and UE designs that only support one of the two bands, it should be assumed the UE will carry a common RF front-end between the two bands – this implies that Rx filter will be designed to cover the full </w:t>
      </w:r>
      <w:proofErr w:type="gramStart"/>
      <w:r w:rsidRPr="0033371E">
        <w:rPr>
          <w:i/>
          <w:iCs/>
          <w:lang w:val="en-US"/>
        </w:rPr>
        <w:t>band</w:t>
      </w:r>
      <w:proofErr w:type="gramEnd"/>
      <w:r w:rsidRPr="0033371E">
        <w:rPr>
          <w:i/>
          <w:iCs/>
          <w:lang w:val="en-US"/>
        </w:rPr>
        <w:t>”</w:t>
      </w:r>
      <w:r w:rsidR="008920BB" w:rsidRPr="0033371E">
        <w:rPr>
          <w:i/>
          <w:iCs/>
          <w:lang w:val="en-US"/>
        </w:rPr>
        <w:t xml:space="preserve"> </w:t>
      </w:r>
    </w:p>
    <w:p w14:paraId="4E86A00E" w14:textId="13BFC611" w:rsidR="00F139E5" w:rsidRPr="00FF6130" w:rsidRDefault="0033371E" w:rsidP="001703E5">
      <w:pPr>
        <w:rPr>
          <w:lang w:val="en-US"/>
        </w:rPr>
      </w:pPr>
      <w:r>
        <w:rPr>
          <w:lang w:val="en-US"/>
        </w:rPr>
        <w:lastRenderedPageBreak/>
        <w:t xml:space="preserve">Whilst we are potentially open to </w:t>
      </w:r>
      <w:r w:rsidR="00956945">
        <w:rPr>
          <w:lang w:val="en-US"/>
        </w:rPr>
        <w:t>allow certain UE to support only a subset of the band</w:t>
      </w:r>
      <w:r w:rsidR="00A366CD">
        <w:rPr>
          <w:lang w:val="en-US"/>
        </w:rPr>
        <w:t xml:space="preserve"> to specifically target higher performance in a reduced portion</w:t>
      </w:r>
      <w:r w:rsidR="00956945">
        <w:rPr>
          <w:lang w:val="en-US"/>
        </w:rPr>
        <w:t xml:space="preserve">, this </w:t>
      </w:r>
      <w:proofErr w:type="gramStart"/>
      <w:r w:rsidR="00956945">
        <w:rPr>
          <w:lang w:val="en-US"/>
        </w:rPr>
        <w:t>would</w:t>
      </w:r>
      <w:proofErr w:type="gramEnd"/>
      <w:r w:rsidR="00956945">
        <w:rPr>
          <w:lang w:val="en-US"/>
        </w:rPr>
        <w:t xml:space="preserve"> only </w:t>
      </w:r>
      <w:r w:rsidR="00A366CD">
        <w:rPr>
          <w:lang w:val="en-US"/>
        </w:rPr>
        <w:t>make sense if the UE implements a dedicated RF frontend, which we don’t think is beneficial in this phase of the NTN specification.</w:t>
      </w:r>
    </w:p>
    <w:p w14:paraId="78F9B99A" w14:textId="685B5479" w:rsidR="009A0573" w:rsidRDefault="009A0573" w:rsidP="001703E5">
      <w:pPr>
        <w:rPr>
          <w:b/>
          <w:bCs/>
        </w:rPr>
      </w:pPr>
      <w:r>
        <w:rPr>
          <w:b/>
          <w:bCs/>
          <w:lang w:val="en-US"/>
        </w:rPr>
        <w:t>Observation</w:t>
      </w:r>
      <w:r w:rsidR="00050B9A">
        <w:rPr>
          <w:b/>
          <w:bCs/>
          <w:lang w:val="en-US"/>
        </w:rPr>
        <w:t xml:space="preserve"> 4</w:t>
      </w:r>
      <w:r>
        <w:rPr>
          <w:b/>
          <w:bCs/>
          <w:lang w:val="en-US"/>
        </w:rPr>
        <w:t>:</w:t>
      </w:r>
      <w:r>
        <w:rPr>
          <w:b/>
          <w:bCs/>
        </w:rPr>
        <w:t xml:space="preserve"> As </w:t>
      </w:r>
      <w:r w:rsidR="003C2AC1">
        <w:rPr>
          <w:b/>
          <w:bCs/>
        </w:rPr>
        <w:t xml:space="preserve">highlighted in </w:t>
      </w:r>
      <w:r w:rsidR="003C2AC1" w:rsidRPr="003C2AC1">
        <w:rPr>
          <w:b/>
          <w:bCs/>
        </w:rPr>
        <w:t>R4-2309506</w:t>
      </w:r>
      <w:r w:rsidR="003C2AC1">
        <w:rPr>
          <w:b/>
          <w:bCs/>
        </w:rPr>
        <w:t xml:space="preserve">, </w:t>
      </w:r>
      <w:r w:rsidR="008868D1">
        <w:rPr>
          <w:b/>
          <w:bCs/>
        </w:rPr>
        <w:t xml:space="preserve">even if we were to define two separate bands, one with the full DL starting at 1518 MHz and one starting at 1520 MHz, </w:t>
      </w:r>
      <w:r w:rsidR="00AF3ED8">
        <w:rPr>
          <w:b/>
          <w:bCs/>
        </w:rPr>
        <w:t>it is unlikely that UE with separate Rx RF frontend will be developed as it will cause fragmentation in the ecosystem. As noted in</w:t>
      </w:r>
      <w:r w:rsidR="00AF3ED8" w:rsidRPr="00AF3ED8">
        <w:rPr>
          <w:b/>
          <w:bCs/>
        </w:rPr>
        <w:t xml:space="preserve"> </w:t>
      </w:r>
      <w:r w:rsidR="00AF3ED8" w:rsidRPr="003C2AC1">
        <w:rPr>
          <w:b/>
          <w:bCs/>
        </w:rPr>
        <w:t>R4-2309506</w:t>
      </w:r>
      <w:r w:rsidR="00AF3ED8">
        <w:rPr>
          <w:b/>
          <w:bCs/>
        </w:rPr>
        <w:t>, “i</w:t>
      </w:r>
      <w:r w:rsidR="00AF3ED8" w:rsidRPr="00AF3ED8">
        <w:rPr>
          <w:b/>
          <w:bCs/>
        </w:rPr>
        <w:t>t should be assumed the UE will carry a common RF front-end between the two bands – this implies that Rx filter will be designed to cover the full band</w:t>
      </w:r>
      <w:r w:rsidR="00AF3ED8">
        <w:rPr>
          <w:b/>
          <w:bCs/>
        </w:rPr>
        <w:t xml:space="preserve">”.  Therefore, there is virtually no benefit to </w:t>
      </w:r>
      <w:proofErr w:type="gramStart"/>
      <w:r w:rsidR="00AF3ED8">
        <w:rPr>
          <w:b/>
          <w:bCs/>
        </w:rPr>
        <w:t>actually specifying</w:t>
      </w:r>
      <w:proofErr w:type="gramEnd"/>
      <w:r w:rsidR="00AF3ED8">
        <w:rPr>
          <w:b/>
          <w:bCs/>
        </w:rPr>
        <w:t xml:space="preserve"> two different bands.</w:t>
      </w:r>
    </w:p>
    <w:p w14:paraId="579846E7" w14:textId="1BA33607" w:rsidR="00B71B56" w:rsidRPr="006F1524" w:rsidRDefault="006F1524" w:rsidP="001703E5">
      <w:pPr>
        <w:rPr>
          <w:b/>
          <w:bCs/>
        </w:rPr>
      </w:pPr>
      <w:r>
        <w:rPr>
          <w:b/>
          <w:bCs/>
        </w:rPr>
        <w:t>Proposal</w:t>
      </w:r>
      <w:r w:rsidR="00050B9A">
        <w:rPr>
          <w:b/>
          <w:bCs/>
        </w:rPr>
        <w:t xml:space="preserve"> 3</w:t>
      </w:r>
      <w:r>
        <w:rPr>
          <w:b/>
          <w:bCs/>
        </w:rPr>
        <w:t>: Assume a single NTN band 253 will be specified covering the full DL range of 1518-1525 MHz and that the UE RF frontend will align with the 1518 MHz edge.</w:t>
      </w:r>
    </w:p>
    <w:p w14:paraId="1DBE3E14" w14:textId="540F9CA7" w:rsidR="004C0699" w:rsidRDefault="00B93A7F" w:rsidP="001703E5">
      <w:pPr>
        <w:rPr>
          <w:lang w:val="en-US"/>
        </w:rPr>
      </w:pPr>
      <w:r>
        <w:rPr>
          <w:lang w:val="en-US"/>
        </w:rPr>
        <w:t xml:space="preserve">One thing that can be noted is that </w:t>
      </w:r>
      <w:r w:rsidR="00566347">
        <w:rPr>
          <w:lang w:val="en-US"/>
        </w:rPr>
        <w:t xml:space="preserve">there will be </w:t>
      </w:r>
      <w:proofErr w:type="gramStart"/>
      <w:r w:rsidR="00566347">
        <w:rPr>
          <w:lang w:val="en-US"/>
        </w:rPr>
        <w:t>a number of</w:t>
      </w:r>
      <w:proofErr w:type="gramEnd"/>
      <w:r w:rsidR="00566347">
        <w:rPr>
          <w:lang w:val="en-US"/>
        </w:rPr>
        <w:t xml:space="preserve"> scenarios, where the UE will operate either in areas where there are no networks in the adjacent TN bands ending at 1517 MHz, or where the UE will operate far away enough from </w:t>
      </w:r>
      <w:r w:rsidR="00981C0B">
        <w:rPr>
          <w:lang w:val="en-US"/>
        </w:rPr>
        <w:t>TN base stations that the blocking signal levels will not be high enough to affect the receiver performance at all.</w:t>
      </w:r>
      <w:r w:rsidR="001A7678">
        <w:rPr>
          <w:lang w:val="en-US"/>
        </w:rPr>
        <w:t xml:space="preserve">  </w:t>
      </w:r>
    </w:p>
    <w:p w14:paraId="71836904" w14:textId="5373ADB4" w:rsidR="00135F44" w:rsidRDefault="00C57496" w:rsidP="001703E5">
      <w:pPr>
        <w:rPr>
          <w:lang w:val="en-US"/>
        </w:rPr>
      </w:pPr>
      <w:r>
        <w:rPr>
          <w:lang w:val="en-US"/>
        </w:rPr>
        <w:t>However, in such cases, there may still be terrestrial networks that are operating at offsets further away from the UE DL,</w:t>
      </w:r>
      <w:r w:rsidR="003F7AA1">
        <w:rPr>
          <w:lang w:val="en-US"/>
        </w:rPr>
        <w:t xml:space="preserve"> such as ending at 1512 MHz,</w:t>
      </w:r>
      <w:r>
        <w:rPr>
          <w:lang w:val="en-US"/>
        </w:rPr>
        <w:t xml:space="preserve"> which could affect the NTN UE DL receiver</w:t>
      </w:r>
      <w:r w:rsidR="003F7AA1">
        <w:rPr>
          <w:lang w:val="en-US"/>
        </w:rPr>
        <w:t xml:space="preserve">. </w:t>
      </w:r>
      <w:r w:rsidR="00135F44">
        <w:rPr>
          <w:lang w:val="en-US"/>
        </w:rPr>
        <w:t xml:space="preserve"> This is also highlighted by the ECC Reports, such as ECC Report 263:</w:t>
      </w:r>
    </w:p>
    <w:p w14:paraId="615CC5C0" w14:textId="7B850CF0" w:rsidR="00135F44" w:rsidRDefault="00135F44" w:rsidP="00135F44">
      <w:pPr>
        <w:jc w:val="center"/>
        <w:rPr>
          <w:lang w:val="en-US"/>
        </w:rPr>
      </w:pPr>
      <w:r w:rsidRPr="00135F44">
        <w:drawing>
          <wp:inline distT="0" distB="0" distL="0" distR="0" wp14:anchorId="3A4E4441" wp14:editId="3B0F0354">
            <wp:extent cx="5470954" cy="594755"/>
            <wp:effectExtent l="38100" t="38100" r="92075" b="914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04653" cy="598418"/>
                    </a:xfrm>
                    <a:prstGeom prst="rect">
                      <a:avLst/>
                    </a:prstGeom>
                    <a:effectLst>
                      <a:outerShdw blurRad="50800" dist="38100" dir="2700000" algn="tl" rotWithShape="0">
                        <a:prstClr val="black">
                          <a:alpha val="40000"/>
                        </a:prstClr>
                      </a:outerShdw>
                    </a:effectLst>
                  </pic:spPr>
                </pic:pic>
              </a:graphicData>
            </a:graphic>
          </wp:inline>
        </w:drawing>
      </w:r>
    </w:p>
    <w:p w14:paraId="4E9FD070" w14:textId="624B4975" w:rsidR="003B4734" w:rsidRDefault="003B4734" w:rsidP="001703E5">
      <w:pPr>
        <w:rPr>
          <w:lang w:val="en-US"/>
        </w:rPr>
      </w:pPr>
      <w:r>
        <w:rPr>
          <w:lang w:val="en-US"/>
        </w:rPr>
        <w:t xml:space="preserve">In addition to that, ECC Reports identify that also geographical separation can significantly reduce the interference levels into the </w:t>
      </w:r>
      <w:r w:rsidR="00D730B4">
        <w:rPr>
          <w:lang w:val="en-US"/>
        </w:rPr>
        <w:t>NTN UE, something that is also dependent on the environment affecting the channel model.</w:t>
      </w:r>
      <w:r w:rsidR="00973EDC">
        <w:rPr>
          <w:lang w:val="en-US"/>
        </w:rPr>
        <w:t xml:space="preserve">  In fact, for a </w:t>
      </w:r>
      <w:proofErr w:type="gramStart"/>
      <w:r w:rsidR="00973EDC">
        <w:rPr>
          <w:lang w:val="en-US"/>
        </w:rPr>
        <w:t>land based</w:t>
      </w:r>
      <w:proofErr w:type="gramEnd"/>
      <w:r w:rsidR="00973EDC">
        <w:rPr>
          <w:lang w:val="en-US"/>
        </w:rPr>
        <w:t xml:space="preserve"> </w:t>
      </w:r>
      <w:r w:rsidR="00FE4A01">
        <w:rPr>
          <w:lang w:val="en-US"/>
        </w:rPr>
        <w:t>UE (or Mobile Earth Station, MES, as referred in the report), a separation distance of slightly above 6 km is considered sufficient to mitigate the block</w:t>
      </w:r>
      <w:r w:rsidR="00F65B2A">
        <w:rPr>
          <w:lang w:val="en-US"/>
        </w:rPr>
        <w:t xml:space="preserve">ing effect.  </w:t>
      </w:r>
    </w:p>
    <w:p w14:paraId="350C3A77" w14:textId="1F2EA452" w:rsidR="00F65B2A" w:rsidRDefault="00F65B2A" w:rsidP="001703E5">
      <w:pPr>
        <w:rPr>
          <w:lang w:val="en-US"/>
        </w:rPr>
      </w:pPr>
      <w:r>
        <w:rPr>
          <w:noProof/>
        </w:rPr>
        <w:drawing>
          <wp:inline distT="0" distB="0" distL="0" distR="0" wp14:anchorId="5B62AAE4" wp14:editId="2D43205A">
            <wp:extent cx="6115685" cy="1302385"/>
            <wp:effectExtent l="38100" t="38100" r="94615" b="88265"/>
            <wp:docPr id="19" name="Picture 19"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close-up of a white background&#10;&#10;Description automatically generated"/>
                    <pic:cNvPicPr/>
                  </pic:nvPicPr>
                  <pic:blipFill>
                    <a:blip r:embed="rId15"/>
                    <a:stretch>
                      <a:fillRect/>
                    </a:stretch>
                  </pic:blipFill>
                  <pic:spPr>
                    <a:xfrm>
                      <a:off x="0" y="0"/>
                      <a:ext cx="6115685" cy="1302385"/>
                    </a:xfrm>
                    <a:prstGeom prst="rect">
                      <a:avLst/>
                    </a:prstGeom>
                    <a:effectLst>
                      <a:outerShdw blurRad="50800" dist="38100" dir="2700000" algn="tl" rotWithShape="0">
                        <a:prstClr val="black">
                          <a:alpha val="40000"/>
                        </a:prstClr>
                      </a:outerShdw>
                    </a:effectLst>
                  </pic:spPr>
                </pic:pic>
              </a:graphicData>
            </a:graphic>
          </wp:inline>
        </w:drawing>
      </w:r>
    </w:p>
    <w:p w14:paraId="43828962" w14:textId="1B78628C" w:rsidR="00A62E85" w:rsidRDefault="00AA23BD" w:rsidP="001703E5">
      <w:pPr>
        <w:rPr>
          <w:lang w:val="en-US"/>
        </w:rPr>
      </w:pPr>
      <w:r>
        <w:rPr>
          <w:lang w:val="en-US"/>
        </w:rPr>
        <w:t>I</w:t>
      </w:r>
      <w:r w:rsidR="00C3719D">
        <w:rPr>
          <w:lang w:val="en-US"/>
        </w:rPr>
        <w:t xml:space="preserve">n </w:t>
      </w:r>
      <w:r w:rsidR="0023353F">
        <w:rPr>
          <w:lang w:val="en-US"/>
        </w:rPr>
        <w:t xml:space="preserve">the FR1 NTN coexistence study phase, </w:t>
      </w:r>
      <w:r w:rsidR="00C3719D">
        <w:rPr>
          <w:lang w:val="en-US"/>
        </w:rPr>
        <w:t>1500 m</w:t>
      </w:r>
      <w:r w:rsidR="00076BD9">
        <w:rPr>
          <w:lang w:val="en-US"/>
        </w:rPr>
        <w:t xml:space="preserve"> geographical separation was assumed</w:t>
      </w:r>
      <w:r w:rsidR="00C3719D">
        <w:rPr>
          <w:lang w:val="en-US"/>
        </w:rPr>
        <w:t xml:space="preserve"> between NTN UE and edge of the TN coverage</w:t>
      </w:r>
      <w:r>
        <w:rPr>
          <w:lang w:val="en-US"/>
        </w:rPr>
        <w:t>.  That is different from the ECC Report 263, in which the geographical separation was calculated from the actual Base Station.  Th</w:t>
      </w:r>
      <w:r w:rsidR="005745AA">
        <w:rPr>
          <w:lang w:val="en-US"/>
        </w:rPr>
        <w:t xml:space="preserve">is means that the actual TN BS to NTN UE separation assumed during the NTN coexistence phase </w:t>
      </w:r>
      <w:r w:rsidR="00404FCE">
        <w:rPr>
          <w:lang w:val="en-US"/>
        </w:rPr>
        <w:t xml:space="preserve">in TR 38.863 </w:t>
      </w:r>
      <w:r w:rsidR="005745AA">
        <w:rPr>
          <w:lang w:val="en-US"/>
        </w:rPr>
        <w:t xml:space="preserve">should be read as </w:t>
      </w:r>
      <w:r w:rsidR="00677BF1">
        <w:rPr>
          <w:lang w:val="en-US"/>
        </w:rPr>
        <w:t xml:space="preserve">[TN cell radius] + 1500 m, which may well result in a larger value than </w:t>
      </w:r>
      <w:r w:rsidR="001E590C">
        <w:rPr>
          <w:lang w:val="en-US"/>
        </w:rPr>
        <w:t>the 6100 m identified by ECC Report 263 for Land MES.</w:t>
      </w:r>
      <w:r w:rsidR="00404FCE">
        <w:rPr>
          <w:lang w:val="en-US"/>
        </w:rPr>
        <w:t xml:space="preserve">   </w:t>
      </w:r>
      <w:r w:rsidR="00173DF0">
        <w:rPr>
          <w:lang w:val="en-US"/>
        </w:rPr>
        <w:t>In fact, for low gain Land MES, the separation distance at which the interference levels become acceptable is 5000 m.</w:t>
      </w:r>
      <w:r w:rsidR="006B70F3">
        <w:rPr>
          <w:lang w:val="en-US"/>
        </w:rPr>
        <w:t xml:space="preserve">  </w:t>
      </w:r>
    </w:p>
    <w:p w14:paraId="210DAE1A" w14:textId="6C95E5FD" w:rsidR="00173DF0" w:rsidRDefault="00A62E85" w:rsidP="001703E5">
      <w:pPr>
        <w:rPr>
          <w:lang w:val="en-US"/>
        </w:rPr>
      </w:pPr>
      <w:r>
        <w:rPr>
          <w:lang w:val="en-US"/>
        </w:rPr>
        <w:t xml:space="preserve">For example, </w:t>
      </w:r>
      <w:r w:rsidR="009F5CD4">
        <w:rPr>
          <w:lang w:val="en-US"/>
        </w:rPr>
        <w:t>TR 38.863 TN deployment assumptions for Rural in fact assume a 7500 m ISD</w:t>
      </w:r>
      <w:r w:rsidR="005844B9">
        <w:rPr>
          <w:lang w:val="en-US"/>
        </w:rPr>
        <w:t xml:space="preserve">, which would roughly convert to a </w:t>
      </w:r>
      <w:r w:rsidR="005849B5">
        <w:rPr>
          <w:lang w:val="en-US"/>
        </w:rPr>
        <w:t>3750 m cell radius</w:t>
      </w:r>
      <w:r>
        <w:rPr>
          <w:lang w:val="en-US"/>
        </w:rPr>
        <w:t xml:space="preserve">, which, when </w:t>
      </w:r>
      <w:r w:rsidR="00E13E4D">
        <w:rPr>
          <w:lang w:val="en-US"/>
        </w:rPr>
        <w:t xml:space="preserve">adding the 1500 m geographical isolation assumed in the TR, </w:t>
      </w:r>
      <w:r w:rsidR="00001768">
        <w:rPr>
          <w:lang w:val="en-US"/>
        </w:rPr>
        <w:t xml:space="preserve">would in fact yield </w:t>
      </w:r>
      <w:r w:rsidR="00D4728D">
        <w:rPr>
          <w:lang w:val="en-US"/>
        </w:rPr>
        <w:t xml:space="preserve">a total separation distance between TN BS and NTN UE of </w:t>
      </w:r>
      <w:r w:rsidR="00001768">
        <w:rPr>
          <w:lang w:val="en-US"/>
        </w:rPr>
        <w:t>5</w:t>
      </w:r>
      <w:r w:rsidR="00D4728D">
        <w:rPr>
          <w:lang w:val="en-US"/>
        </w:rPr>
        <w:t xml:space="preserve">250 m, sufficient to meet the ECC Report 263 </w:t>
      </w:r>
      <w:r w:rsidR="00915D12">
        <w:rPr>
          <w:lang w:val="en-US"/>
        </w:rPr>
        <w:t>suggested value at 1 MHz frequency separation at least for low-gain Land UE, which would align with a typical smartphone or IoT NTN use case.</w:t>
      </w:r>
      <w:r w:rsidR="00D4728D">
        <w:rPr>
          <w:lang w:val="en-US"/>
        </w:rPr>
        <w:t xml:space="preserve"> </w:t>
      </w:r>
    </w:p>
    <w:p w14:paraId="589FA468" w14:textId="09E190C1" w:rsidR="00173DF0" w:rsidRDefault="00D77D2E" w:rsidP="00D77D2E">
      <w:pPr>
        <w:jc w:val="center"/>
        <w:rPr>
          <w:lang w:val="en-US"/>
        </w:rPr>
      </w:pPr>
      <w:r w:rsidRPr="00D77D2E">
        <w:lastRenderedPageBreak/>
        <w:drawing>
          <wp:inline distT="0" distB="0" distL="0" distR="0" wp14:anchorId="2D7AEE8B" wp14:editId="013B9100">
            <wp:extent cx="5284412" cy="2190910"/>
            <wp:effectExtent l="0" t="0" r="0" b="0"/>
            <wp:docPr id="21" name="Picture 2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table with numbers and text&#10;&#10;Description automatically generated"/>
                    <pic:cNvPicPr/>
                  </pic:nvPicPr>
                  <pic:blipFill>
                    <a:blip r:embed="rId16"/>
                    <a:stretch>
                      <a:fillRect/>
                    </a:stretch>
                  </pic:blipFill>
                  <pic:spPr>
                    <a:xfrm>
                      <a:off x="0" y="0"/>
                      <a:ext cx="5288133" cy="2192453"/>
                    </a:xfrm>
                    <a:prstGeom prst="rect">
                      <a:avLst/>
                    </a:prstGeom>
                  </pic:spPr>
                </pic:pic>
              </a:graphicData>
            </a:graphic>
          </wp:inline>
        </w:drawing>
      </w:r>
    </w:p>
    <w:p w14:paraId="6F31BBBF" w14:textId="70A23A2B" w:rsidR="00D77D2E" w:rsidRDefault="005F35DE" w:rsidP="001703E5">
      <w:pPr>
        <w:rPr>
          <w:lang w:val="en-US"/>
        </w:rPr>
      </w:pPr>
      <w:r>
        <w:rPr>
          <w:lang w:val="en-US"/>
        </w:rPr>
        <w:t>Whilst the interference from TN into NTN is and will be a very serious issue</w:t>
      </w:r>
      <w:r w:rsidR="006D36D5">
        <w:rPr>
          <w:lang w:val="en-US"/>
        </w:rPr>
        <w:t xml:space="preserve"> that may need to be re-examined further in the futu</w:t>
      </w:r>
      <w:r w:rsidR="00CF46C5">
        <w:rPr>
          <w:lang w:val="en-US"/>
        </w:rPr>
        <w:t>re</w:t>
      </w:r>
      <w:r>
        <w:rPr>
          <w:lang w:val="en-US"/>
        </w:rPr>
        <w:t xml:space="preserve">, </w:t>
      </w:r>
      <w:r w:rsidR="00033840">
        <w:rPr>
          <w:lang w:val="en-US"/>
        </w:rPr>
        <w:t>i</w:t>
      </w:r>
      <w:r w:rsidR="007768C5">
        <w:rPr>
          <w:lang w:val="en-US"/>
        </w:rPr>
        <w:t>f we consider the typical use case for a UE attaching to an NTN network</w:t>
      </w:r>
      <w:r w:rsidR="00CF46C5">
        <w:rPr>
          <w:lang w:val="en-US"/>
        </w:rPr>
        <w:t xml:space="preserve"> </w:t>
      </w:r>
      <w:r w:rsidR="007768C5">
        <w:rPr>
          <w:lang w:val="en-US"/>
        </w:rPr>
        <w:t xml:space="preserve">when the TN network is not available, </w:t>
      </w:r>
      <w:r w:rsidR="0091641F">
        <w:rPr>
          <w:lang w:val="en-US"/>
        </w:rPr>
        <w:t>a 5 km geographical separation</w:t>
      </w:r>
      <w:r w:rsidR="006B70F3">
        <w:rPr>
          <w:lang w:val="en-US"/>
        </w:rPr>
        <w:t xml:space="preserve"> is potentially reasonable at least for use cases such as smartphone and industrial IoT. </w:t>
      </w:r>
    </w:p>
    <w:p w14:paraId="2D14755A" w14:textId="570F1DAD" w:rsidR="00D77D2E" w:rsidRPr="005E628B" w:rsidRDefault="00033840" w:rsidP="001703E5">
      <w:pPr>
        <w:rPr>
          <w:lang w:val="en-US"/>
        </w:rPr>
      </w:pPr>
      <w:r>
        <w:rPr>
          <w:lang w:val="en-US"/>
        </w:rPr>
        <w:t xml:space="preserve">For future use cases such as mission-critical, vehicular, </w:t>
      </w:r>
      <w:proofErr w:type="gramStart"/>
      <w:r>
        <w:rPr>
          <w:lang w:val="en-US"/>
        </w:rPr>
        <w:t>maritime</w:t>
      </w:r>
      <w:proofErr w:type="gramEnd"/>
      <w:r>
        <w:rPr>
          <w:lang w:val="en-US"/>
        </w:rPr>
        <w:t xml:space="preserve"> and aeronautical, where </w:t>
      </w:r>
      <w:r w:rsidR="00350756">
        <w:rPr>
          <w:lang w:val="en-US"/>
        </w:rPr>
        <w:t>either a separation distance is not acceptable, or a higher gain antenna will be used, the problem will be more severe</w:t>
      </w:r>
      <w:r w:rsidR="00CF46C5">
        <w:rPr>
          <w:lang w:val="en-US"/>
        </w:rPr>
        <w:t xml:space="preserve"> and may need to be re-assessed.</w:t>
      </w:r>
    </w:p>
    <w:p w14:paraId="0F8D899C" w14:textId="40907268" w:rsidR="001E590C" w:rsidRPr="001E590C" w:rsidRDefault="001E590C" w:rsidP="001703E5">
      <w:pPr>
        <w:rPr>
          <w:b/>
          <w:bCs/>
          <w:lang w:val="en-US"/>
        </w:rPr>
      </w:pPr>
      <w:r>
        <w:rPr>
          <w:b/>
          <w:bCs/>
          <w:lang w:val="en-US"/>
        </w:rPr>
        <w:t>Observation</w:t>
      </w:r>
      <w:r w:rsidR="00AB3741">
        <w:rPr>
          <w:b/>
          <w:bCs/>
          <w:lang w:val="en-US"/>
        </w:rPr>
        <w:t xml:space="preserve"> 5</w:t>
      </w:r>
      <w:r>
        <w:rPr>
          <w:b/>
          <w:bCs/>
          <w:lang w:val="en-US"/>
        </w:rPr>
        <w:t xml:space="preserve">: </w:t>
      </w:r>
      <w:r>
        <w:rPr>
          <w:lang w:val="en-US"/>
        </w:rPr>
        <w:t xml:space="preserve"> </w:t>
      </w:r>
      <w:r>
        <w:rPr>
          <w:b/>
          <w:bCs/>
          <w:lang w:val="en-US"/>
        </w:rPr>
        <w:t xml:space="preserve">ECC report </w:t>
      </w:r>
      <w:r w:rsidR="00BF5D13">
        <w:rPr>
          <w:b/>
          <w:bCs/>
          <w:lang w:val="en-US"/>
        </w:rPr>
        <w:t xml:space="preserve">suggests that a 5000 m separation between NTN UE and interfering TN BS </w:t>
      </w:r>
      <w:r w:rsidR="00AB0E8D">
        <w:rPr>
          <w:b/>
          <w:bCs/>
          <w:lang w:val="en-US"/>
        </w:rPr>
        <w:t xml:space="preserve">at 1 MHz away </w:t>
      </w:r>
      <w:r w:rsidR="00BF5D13">
        <w:rPr>
          <w:b/>
          <w:bCs/>
          <w:lang w:val="en-US"/>
        </w:rPr>
        <w:t xml:space="preserve">might be enough to </w:t>
      </w:r>
      <w:r w:rsidR="00281155">
        <w:rPr>
          <w:b/>
          <w:bCs/>
          <w:lang w:val="en-US"/>
        </w:rPr>
        <w:t xml:space="preserve">keep harmful interference into the NTN UE receiver low at least for </w:t>
      </w:r>
      <w:r w:rsidR="009727B8">
        <w:rPr>
          <w:b/>
          <w:bCs/>
          <w:lang w:val="en-US"/>
        </w:rPr>
        <w:t xml:space="preserve">low gain land UE.  </w:t>
      </w:r>
      <w:r w:rsidR="00404FCE">
        <w:rPr>
          <w:b/>
          <w:bCs/>
          <w:lang w:val="en-US"/>
        </w:rPr>
        <w:t xml:space="preserve">TR 38.863 </w:t>
      </w:r>
      <w:r w:rsidR="00060FEB">
        <w:rPr>
          <w:b/>
          <w:bCs/>
          <w:lang w:val="en-US"/>
        </w:rPr>
        <w:t xml:space="preserve">assumes a 1500 m </w:t>
      </w:r>
      <w:r w:rsidR="00AE6EC4">
        <w:rPr>
          <w:b/>
          <w:bCs/>
          <w:lang w:val="en-US"/>
        </w:rPr>
        <w:t>geographical separation between NTN UE and edge of the TN cell coverage</w:t>
      </w:r>
      <w:r w:rsidR="00915D12">
        <w:rPr>
          <w:b/>
          <w:bCs/>
          <w:lang w:val="en-US"/>
        </w:rPr>
        <w:t xml:space="preserve"> and a 7500 m ISD for TN deployment</w:t>
      </w:r>
      <w:r w:rsidR="00AE6EC4">
        <w:rPr>
          <w:b/>
          <w:bCs/>
          <w:lang w:val="en-US"/>
        </w:rPr>
        <w:t>, which means the total separation from the TN BS will be [TN cell radius] + 1500m.</w:t>
      </w:r>
      <w:r w:rsidR="00915D12">
        <w:rPr>
          <w:b/>
          <w:bCs/>
          <w:lang w:val="en-US"/>
        </w:rPr>
        <w:t xml:space="preserve">  If we assume [TN cell radius] </w:t>
      </w:r>
      <w:proofErr w:type="gramStart"/>
      <w:r w:rsidR="00915D12">
        <w:rPr>
          <w:b/>
          <w:bCs/>
          <w:lang w:val="en-US"/>
        </w:rPr>
        <w:t xml:space="preserve">=  </w:t>
      </w:r>
      <w:r w:rsidR="00E335FC">
        <w:rPr>
          <w:b/>
          <w:bCs/>
          <w:lang w:val="en-US"/>
        </w:rPr>
        <w:t>ISD</w:t>
      </w:r>
      <w:proofErr w:type="gramEnd"/>
      <w:r w:rsidR="00E335FC">
        <w:rPr>
          <w:b/>
          <w:bCs/>
          <w:lang w:val="en-US"/>
        </w:rPr>
        <w:t>/2, this would convert to a total of 3750 + 1500 = 5250 m total separation distance.</w:t>
      </w:r>
    </w:p>
    <w:p w14:paraId="01C7F1B7" w14:textId="103E9DAC" w:rsidR="00F65B2A" w:rsidRPr="00072AF2" w:rsidRDefault="00631DBE" w:rsidP="001703E5">
      <w:pPr>
        <w:rPr>
          <w:b/>
          <w:bCs/>
          <w:lang w:val="en-US"/>
        </w:rPr>
      </w:pPr>
      <w:r>
        <w:rPr>
          <w:b/>
          <w:bCs/>
          <w:lang w:val="en-US"/>
        </w:rPr>
        <w:t>Proposal</w:t>
      </w:r>
      <w:r w:rsidR="00AB3741">
        <w:rPr>
          <w:b/>
          <w:bCs/>
          <w:lang w:val="en-US"/>
        </w:rPr>
        <w:t xml:space="preserve"> 4</w:t>
      </w:r>
      <w:r>
        <w:rPr>
          <w:b/>
          <w:bCs/>
          <w:lang w:val="en-US"/>
        </w:rPr>
        <w:t xml:space="preserve">: </w:t>
      </w:r>
      <w:r>
        <w:rPr>
          <w:lang w:val="en-US"/>
        </w:rPr>
        <w:t xml:space="preserve"> </w:t>
      </w:r>
      <w:r w:rsidR="00072AF2">
        <w:rPr>
          <w:b/>
          <w:bCs/>
          <w:lang w:val="en-US"/>
        </w:rPr>
        <w:t xml:space="preserve">For the time being, re-use TN-NTN coexistence assumptions from TR 38.863, which would </w:t>
      </w:r>
      <w:r w:rsidR="00D01F2F">
        <w:rPr>
          <w:b/>
          <w:bCs/>
          <w:lang w:val="en-US"/>
        </w:rPr>
        <w:t>yield a total separation distance of 5250 m from TN BS site and NTN UE, at least for low-gain land-based NTN UE, compatible with smartphone and IoT use cases.</w:t>
      </w:r>
    </w:p>
    <w:p w14:paraId="04814705" w14:textId="15CB959B" w:rsidR="00C57496" w:rsidRDefault="00611A01" w:rsidP="001703E5">
      <w:pPr>
        <w:rPr>
          <w:lang w:val="en-US"/>
        </w:rPr>
      </w:pPr>
      <w:r>
        <w:rPr>
          <w:lang w:val="en-US"/>
        </w:rPr>
        <w:t xml:space="preserve">Further in line with the recommendations from ECC Report 263, and in cases where </w:t>
      </w:r>
      <w:r w:rsidR="007951ED">
        <w:rPr>
          <w:lang w:val="en-US"/>
        </w:rPr>
        <w:t xml:space="preserve">either </w:t>
      </w:r>
      <w:r>
        <w:rPr>
          <w:lang w:val="en-US"/>
        </w:rPr>
        <w:t xml:space="preserve">the separation distance cannot be </w:t>
      </w:r>
      <w:r w:rsidR="007951ED">
        <w:rPr>
          <w:lang w:val="en-US"/>
        </w:rPr>
        <w:t xml:space="preserve">fully </w:t>
      </w:r>
      <w:r>
        <w:rPr>
          <w:lang w:val="en-US"/>
        </w:rPr>
        <w:t>met</w:t>
      </w:r>
      <w:r w:rsidR="007951ED">
        <w:rPr>
          <w:lang w:val="en-US"/>
        </w:rPr>
        <w:t xml:space="preserve"> from TN carriers at 1 MHz away, or when dealing with TN carriers further away in frequency</w:t>
      </w:r>
      <w:r w:rsidR="00D01F2F">
        <w:rPr>
          <w:lang w:val="en-US"/>
        </w:rPr>
        <w:t>,</w:t>
      </w:r>
      <w:r w:rsidR="003F7AA1">
        <w:rPr>
          <w:lang w:val="en-US"/>
        </w:rPr>
        <w:t xml:space="preserve"> we consider a strong benefit in introducing </w:t>
      </w:r>
      <w:r w:rsidR="00195647">
        <w:rPr>
          <w:lang w:val="en-US"/>
        </w:rPr>
        <w:t xml:space="preserve">more stringent </w:t>
      </w:r>
      <w:r w:rsidR="003F7AA1">
        <w:rPr>
          <w:lang w:val="en-US"/>
        </w:rPr>
        <w:t xml:space="preserve">blocking also at the 1518 MHz </w:t>
      </w:r>
      <w:r w:rsidR="000971F6">
        <w:rPr>
          <w:lang w:val="en-US"/>
        </w:rPr>
        <w:t>edge of the band</w:t>
      </w:r>
      <w:r w:rsidR="00D70CF6">
        <w:rPr>
          <w:lang w:val="en-US"/>
        </w:rPr>
        <w:t>, to address remaining out of band emissions from TN carriers further away from the receiver</w:t>
      </w:r>
      <w:r w:rsidR="00135F44">
        <w:rPr>
          <w:lang w:val="en-US"/>
        </w:rPr>
        <w:t xml:space="preserve"> in either frequency or space</w:t>
      </w:r>
      <w:r w:rsidR="000971F6">
        <w:rPr>
          <w:lang w:val="en-US"/>
        </w:rPr>
        <w:t>.</w:t>
      </w:r>
    </w:p>
    <w:p w14:paraId="032658D4" w14:textId="77777777" w:rsidR="00E56D22" w:rsidRDefault="00226AF8" w:rsidP="00E56D22">
      <w:pPr>
        <w:keepNext/>
        <w:jc w:val="center"/>
      </w:pPr>
      <w:r>
        <w:rPr>
          <w:noProof/>
          <w:lang w:val="en-US"/>
        </w:rPr>
        <w:drawing>
          <wp:inline distT="0" distB="0" distL="0" distR="0" wp14:anchorId="2D87C504" wp14:editId="0E0A13B5">
            <wp:extent cx="3706924" cy="191535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12697" cy="1918334"/>
                    </a:xfrm>
                    <a:prstGeom prst="rect">
                      <a:avLst/>
                    </a:prstGeom>
                    <a:noFill/>
                  </pic:spPr>
                </pic:pic>
              </a:graphicData>
            </a:graphic>
          </wp:inline>
        </w:drawing>
      </w:r>
    </w:p>
    <w:p w14:paraId="1F5A8C3F" w14:textId="5DEE5D13" w:rsidR="006D13CB" w:rsidRDefault="00E56D22" w:rsidP="00E56D2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00311970">
        <w:t>T</w:t>
      </w:r>
      <w:r>
        <w:t>wo different TN BS transmission out of band emissions at 1 and 6 MHz offsets from the edge of the NTN band DL</w:t>
      </w:r>
      <w:r w:rsidR="00195647">
        <w:t xml:space="preserve">.  When the </w:t>
      </w:r>
      <w:r w:rsidR="00E233C0">
        <w:t xml:space="preserve">TN carrier is at 6 MHz away from the NTN carrier, either at 1512 or 1517 MHz, the NTN UE receiver benefits from enhanced blocking filter to </w:t>
      </w:r>
      <w:r w:rsidR="0062559A">
        <w:t>protect from remaining OOBE.</w:t>
      </w:r>
    </w:p>
    <w:p w14:paraId="271FBF64" w14:textId="06A4FA8C" w:rsidR="006D13CB" w:rsidRDefault="006D13CB" w:rsidP="001703E5">
      <w:pPr>
        <w:rPr>
          <w:lang w:val="en-US"/>
        </w:rPr>
      </w:pPr>
      <w:r>
        <w:rPr>
          <w:lang w:val="en-US"/>
        </w:rPr>
        <w:t xml:space="preserve">We therefore propose an approach whereby, whilst maintaining a single operating band definition, based on which a common UE RF Rx frontend is expected to be developed, </w:t>
      </w:r>
      <w:r w:rsidR="00702F55">
        <w:rPr>
          <w:lang w:val="en-US"/>
        </w:rPr>
        <w:t>UE receiver blocking requirements are specified at two different frequency offsets.  One aligned with the edge of the band</w:t>
      </w:r>
      <w:r w:rsidR="005F0781">
        <w:rPr>
          <w:lang w:val="en-US"/>
        </w:rPr>
        <w:t xml:space="preserve"> at 1518 MHz</w:t>
      </w:r>
      <w:r w:rsidR="00702F55">
        <w:rPr>
          <w:lang w:val="en-US"/>
        </w:rPr>
        <w:t xml:space="preserve"> and thus</w:t>
      </w:r>
      <w:r w:rsidR="005F0781">
        <w:rPr>
          <w:lang w:val="en-US"/>
        </w:rPr>
        <w:t xml:space="preserve"> with the expected UE X RF frontend filter, another one at a specific channel offset within the operating band, aligned with the 1520 MHz </w:t>
      </w:r>
      <w:r w:rsidR="006801B5">
        <w:rPr>
          <w:lang w:val="en-US"/>
        </w:rPr>
        <w:t>frequency point.</w:t>
      </w:r>
    </w:p>
    <w:p w14:paraId="0F3B371C" w14:textId="6832B391" w:rsidR="00643438" w:rsidRDefault="00643438" w:rsidP="001703E5">
      <w:pPr>
        <w:rPr>
          <w:b/>
          <w:bCs/>
          <w:lang w:val="en-US"/>
        </w:rPr>
      </w:pPr>
      <w:r>
        <w:rPr>
          <w:b/>
          <w:bCs/>
          <w:lang w:val="en-US"/>
        </w:rPr>
        <w:lastRenderedPageBreak/>
        <w:t>Proposal</w:t>
      </w:r>
      <w:r w:rsidR="00EE0168">
        <w:rPr>
          <w:b/>
          <w:bCs/>
          <w:lang w:val="en-US"/>
        </w:rPr>
        <w:t xml:space="preserve"> 5</w:t>
      </w:r>
      <w:r>
        <w:rPr>
          <w:b/>
          <w:bCs/>
          <w:lang w:val="en-US"/>
        </w:rPr>
        <w:t xml:space="preserve">:  Specify </w:t>
      </w:r>
      <w:r w:rsidR="00BC25A3">
        <w:rPr>
          <w:b/>
          <w:bCs/>
          <w:lang w:val="en-US"/>
        </w:rPr>
        <w:t>two different UE blocking requirements within the same operating band 253</w:t>
      </w:r>
      <w:r w:rsidR="005F412F">
        <w:rPr>
          <w:b/>
          <w:bCs/>
          <w:lang w:val="en-US"/>
        </w:rPr>
        <w:t xml:space="preserve">, one at the band edge of 1518 MHz, </w:t>
      </w:r>
      <w:r w:rsidR="00647324">
        <w:rPr>
          <w:b/>
          <w:bCs/>
          <w:lang w:val="en-US"/>
        </w:rPr>
        <w:t xml:space="preserve">expected to align with the </w:t>
      </w:r>
      <w:r w:rsidR="00346AEC">
        <w:rPr>
          <w:b/>
          <w:bCs/>
          <w:lang w:val="en-US"/>
        </w:rPr>
        <w:t xml:space="preserve">UE Rx RF frontend filter edge, another one at the appropriate channel offsets corresponding to the 1520 MHz frequency point.  </w:t>
      </w:r>
    </w:p>
    <w:p w14:paraId="27A26A0B" w14:textId="64EB599F" w:rsidR="00361426" w:rsidRDefault="006471B6" w:rsidP="001703E5">
      <w:pPr>
        <w:rPr>
          <w:b/>
          <w:bCs/>
          <w:lang w:val="en-US"/>
        </w:rPr>
      </w:pPr>
      <w:r>
        <w:rPr>
          <w:b/>
          <w:bCs/>
          <w:lang w:val="en-US"/>
        </w:rPr>
        <w:t>Proposal</w:t>
      </w:r>
      <w:r w:rsidR="00EE0168">
        <w:rPr>
          <w:b/>
          <w:bCs/>
          <w:lang w:val="en-US"/>
        </w:rPr>
        <w:t xml:space="preserve"> 6</w:t>
      </w:r>
      <w:r>
        <w:rPr>
          <w:b/>
          <w:bCs/>
          <w:lang w:val="en-US"/>
        </w:rPr>
        <w:t xml:space="preserve">: </w:t>
      </w:r>
      <w:r w:rsidR="00F662CA">
        <w:rPr>
          <w:b/>
          <w:bCs/>
          <w:lang w:val="en-US"/>
        </w:rPr>
        <w:t>With the assumption that the IMT block ends at 1517 MHz, s</w:t>
      </w:r>
      <w:r>
        <w:rPr>
          <w:b/>
          <w:bCs/>
          <w:lang w:val="en-US"/>
        </w:rPr>
        <w:t xml:space="preserve">pecify </w:t>
      </w:r>
      <w:r w:rsidR="00361426">
        <w:rPr>
          <w:b/>
          <w:bCs/>
          <w:lang w:val="en-US"/>
        </w:rPr>
        <w:t>the following</w:t>
      </w:r>
      <w:r>
        <w:rPr>
          <w:b/>
          <w:bCs/>
          <w:lang w:val="en-US"/>
        </w:rPr>
        <w:t xml:space="preserve"> in-band blocking requirement</w:t>
      </w:r>
      <w:r w:rsidR="00361426">
        <w:rPr>
          <w:b/>
          <w:bCs/>
          <w:lang w:val="en-US"/>
        </w:rPr>
        <w:t>s:</w:t>
      </w:r>
    </w:p>
    <w:p w14:paraId="4BCFE577" w14:textId="2267BE21" w:rsidR="00361426" w:rsidRDefault="00DA318F" w:rsidP="00361426">
      <w:pPr>
        <w:pStyle w:val="ListParagraph"/>
        <w:numPr>
          <w:ilvl w:val="0"/>
          <w:numId w:val="20"/>
        </w:numPr>
        <w:rPr>
          <w:b/>
          <w:bCs/>
          <w:lang w:val="en-US"/>
        </w:rPr>
      </w:pPr>
      <w:r>
        <w:rPr>
          <w:b/>
          <w:bCs/>
          <w:lang w:val="en-US"/>
        </w:rPr>
        <w:t xml:space="preserve">A blocking requirement </w:t>
      </w:r>
      <w:r w:rsidR="00627237">
        <w:rPr>
          <w:b/>
          <w:bCs/>
          <w:lang w:val="en-US"/>
        </w:rPr>
        <w:t xml:space="preserve">of </w:t>
      </w:r>
      <w:r w:rsidR="00295005">
        <w:rPr>
          <w:b/>
          <w:bCs/>
          <w:lang w:val="en-US"/>
        </w:rPr>
        <w:t>[</w:t>
      </w:r>
      <w:r w:rsidRPr="00361426">
        <w:rPr>
          <w:b/>
          <w:bCs/>
          <w:lang w:val="en-US"/>
        </w:rPr>
        <w:t>−30dBm/MHz</w:t>
      </w:r>
      <w:r w:rsidR="00295005">
        <w:rPr>
          <w:b/>
          <w:bCs/>
          <w:lang w:val="en-US"/>
        </w:rPr>
        <w:t>]</w:t>
      </w:r>
      <w:r w:rsidRPr="00361426">
        <w:rPr>
          <w:b/>
          <w:bCs/>
          <w:lang w:val="en-US"/>
        </w:rPr>
        <w:t xml:space="preserve"> </w:t>
      </w:r>
      <w:r w:rsidR="008F647C">
        <w:rPr>
          <w:b/>
          <w:bCs/>
          <w:lang w:val="en-US"/>
        </w:rPr>
        <w:t>aligned with the edge of the band @1518 MHz, to protect the UE NTN receiver from</w:t>
      </w:r>
      <w:r w:rsidR="002A3FDE">
        <w:rPr>
          <w:b/>
          <w:bCs/>
          <w:lang w:val="en-US"/>
        </w:rPr>
        <w:t xml:space="preserve"> blocking due to</w:t>
      </w:r>
      <w:r w:rsidR="008F647C">
        <w:rPr>
          <w:b/>
          <w:bCs/>
          <w:lang w:val="en-US"/>
        </w:rPr>
        <w:t xml:space="preserve"> out-of-band emissions from TN BS</w:t>
      </w:r>
      <w:r w:rsidR="002A3FDE">
        <w:rPr>
          <w:b/>
          <w:bCs/>
          <w:lang w:val="en-US"/>
        </w:rPr>
        <w:t xml:space="preserve"> </w:t>
      </w:r>
      <w:r w:rsidR="00442FB7">
        <w:rPr>
          <w:b/>
          <w:bCs/>
          <w:lang w:val="en-US"/>
        </w:rPr>
        <w:t>transmissions</w:t>
      </w:r>
      <w:r w:rsidR="008F647C">
        <w:rPr>
          <w:b/>
          <w:bCs/>
          <w:lang w:val="en-US"/>
        </w:rPr>
        <w:t xml:space="preserve"> </w:t>
      </w:r>
      <w:r w:rsidR="009D3587">
        <w:rPr>
          <w:b/>
          <w:bCs/>
          <w:lang w:val="en-US"/>
        </w:rPr>
        <w:t>ending at the 1512 MHz edge</w:t>
      </w:r>
      <w:r w:rsidR="002A3FDE">
        <w:rPr>
          <w:b/>
          <w:bCs/>
          <w:lang w:val="en-US"/>
        </w:rPr>
        <w:t>.</w:t>
      </w:r>
    </w:p>
    <w:p w14:paraId="234474FE" w14:textId="09309894" w:rsidR="00361426" w:rsidRDefault="003C7F4E" w:rsidP="00361426">
      <w:pPr>
        <w:pStyle w:val="ListParagraph"/>
        <w:numPr>
          <w:ilvl w:val="0"/>
          <w:numId w:val="20"/>
        </w:numPr>
        <w:rPr>
          <w:b/>
          <w:bCs/>
          <w:lang w:val="en-US"/>
        </w:rPr>
      </w:pPr>
      <w:r>
        <w:rPr>
          <w:b/>
          <w:bCs/>
          <w:lang w:val="en-US"/>
        </w:rPr>
        <w:t>An additional in-band blocking requirement of</w:t>
      </w:r>
      <w:r w:rsidR="000D09EE" w:rsidRPr="00361426">
        <w:rPr>
          <w:b/>
          <w:bCs/>
          <w:lang w:val="en-US"/>
        </w:rPr>
        <w:t xml:space="preserve"> </w:t>
      </w:r>
      <w:r w:rsidR="00295005">
        <w:rPr>
          <w:b/>
          <w:bCs/>
          <w:lang w:val="en-US"/>
        </w:rPr>
        <w:t>[</w:t>
      </w:r>
      <w:r w:rsidR="000D09EE" w:rsidRPr="00361426">
        <w:rPr>
          <w:b/>
          <w:bCs/>
          <w:lang w:val="en-US"/>
        </w:rPr>
        <w:t>−30dBm/MHz</w:t>
      </w:r>
      <w:r w:rsidR="00295005">
        <w:rPr>
          <w:b/>
          <w:bCs/>
          <w:lang w:val="en-US"/>
        </w:rPr>
        <w:t>]</w:t>
      </w:r>
      <w:r w:rsidR="000D09EE" w:rsidRPr="00361426">
        <w:rPr>
          <w:b/>
          <w:bCs/>
          <w:lang w:val="en-US"/>
        </w:rPr>
        <w:t xml:space="preserve"> </w:t>
      </w:r>
      <w:r w:rsidR="002C260C" w:rsidRPr="00361426">
        <w:rPr>
          <w:b/>
          <w:bCs/>
          <w:lang w:val="en-US"/>
        </w:rPr>
        <w:t xml:space="preserve">starting </w:t>
      </w:r>
      <w:r w:rsidR="000D09EE" w:rsidRPr="00361426">
        <w:rPr>
          <w:b/>
          <w:bCs/>
          <w:lang w:val="en-US"/>
        </w:rPr>
        <w:t xml:space="preserve">at the corresponding EUTRA channel </w:t>
      </w:r>
      <w:r w:rsidR="002C260C" w:rsidRPr="00361426">
        <w:rPr>
          <w:b/>
          <w:bCs/>
          <w:lang w:val="en-US"/>
        </w:rPr>
        <w:t xml:space="preserve">offset </w:t>
      </w:r>
      <w:r w:rsidR="000D09EE" w:rsidRPr="00361426">
        <w:rPr>
          <w:b/>
          <w:bCs/>
          <w:lang w:val="en-US"/>
        </w:rPr>
        <w:t>numbers aligned with the</w:t>
      </w:r>
      <w:r w:rsidR="000D09EE" w:rsidRPr="00361426">
        <w:rPr>
          <w:b/>
          <w:bCs/>
          <w:lang w:val="en-US"/>
        </w:rPr>
        <w:t xml:space="preserve"> 1520 MHz</w:t>
      </w:r>
      <w:r w:rsidR="002C260C" w:rsidRPr="00361426">
        <w:rPr>
          <w:b/>
          <w:bCs/>
          <w:lang w:val="en-US"/>
        </w:rPr>
        <w:t xml:space="preserve"> frequency</w:t>
      </w:r>
      <w:r w:rsidR="00361426" w:rsidRPr="00361426">
        <w:rPr>
          <w:b/>
          <w:bCs/>
          <w:lang w:val="en-US"/>
        </w:rPr>
        <w:t xml:space="preserve"> point</w:t>
      </w:r>
      <w:r>
        <w:rPr>
          <w:b/>
          <w:bCs/>
          <w:lang w:val="en-US"/>
        </w:rPr>
        <w:t>, to protect the UE NTN receiver from blocking due to out-of-band emissions from TN BS transmissions ending at the 1517 MHz edge</w:t>
      </w:r>
      <w:r w:rsidR="00361426" w:rsidRPr="00361426">
        <w:rPr>
          <w:b/>
          <w:bCs/>
          <w:lang w:val="en-US"/>
        </w:rPr>
        <w:t>.</w:t>
      </w:r>
    </w:p>
    <w:p w14:paraId="20918BB4" w14:textId="1909C462" w:rsidR="007E4C47" w:rsidRDefault="0062559A" w:rsidP="003C7F4E">
      <w:pPr>
        <w:rPr>
          <w:lang w:val="en-US"/>
        </w:rPr>
      </w:pPr>
      <w:r>
        <w:rPr>
          <w:lang w:val="en-US"/>
        </w:rPr>
        <w:t xml:space="preserve">Lastly, it is understood that, as also highlighted by ECC Reports, </w:t>
      </w:r>
      <w:r w:rsidR="00022019">
        <w:rPr>
          <w:lang w:val="en-US"/>
        </w:rPr>
        <w:t>even with the enhanced blocking and with a number of additional protection measures, there are still cases, such as when the NTN UE is not sufficiently far away from a TN BS transmission ending at 1517 MHz</w:t>
      </w:r>
      <w:r w:rsidR="006E4F20">
        <w:rPr>
          <w:lang w:val="en-US"/>
        </w:rPr>
        <w:t>, in which the NTN UE may experience</w:t>
      </w:r>
      <w:r w:rsidR="006D5C25">
        <w:rPr>
          <w:lang w:val="en-US"/>
        </w:rPr>
        <w:t xml:space="preserve"> degradation ranging from </w:t>
      </w:r>
      <w:r w:rsidR="005E1C94">
        <w:rPr>
          <w:lang w:val="en-US"/>
        </w:rPr>
        <w:t>blocking due to high power blocking signal saturating the NTN UE receive frontend, to</w:t>
      </w:r>
      <w:r w:rsidR="006E4F20">
        <w:rPr>
          <w:lang w:val="en-US"/>
        </w:rPr>
        <w:t xml:space="preserve"> severe interference </w:t>
      </w:r>
      <w:r w:rsidR="005E1C94">
        <w:rPr>
          <w:lang w:val="en-US"/>
        </w:rPr>
        <w:t>due to OOBE</w:t>
      </w:r>
      <w:r w:rsidR="00623245">
        <w:rPr>
          <w:lang w:val="en-US"/>
        </w:rPr>
        <w:t xml:space="preserve"> or even</w:t>
      </w:r>
      <w:r w:rsidR="005E1C94">
        <w:rPr>
          <w:lang w:val="en-US"/>
        </w:rPr>
        <w:t xml:space="preserve"> to moderate </w:t>
      </w:r>
      <w:r w:rsidR="00623245">
        <w:rPr>
          <w:lang w:val="en-US"/>
        </w:rPr>
        <w:t>interference, l</w:t>
      </w:r>
      <w:r w:rsidR="006E4F20">
        <w:rPr>
          <w:lang w:val="en-US"/>
        </w:rPr>
        <w:t xml:space="preserve">eading to </w:t>
      </w:r>
      <w:r w:rsidR="00623245">
        <w:rPr>
          <w:lang w:val="en-US"/>
        </w:rPr>
        <w:t>some level of degradation.</w:t>
      </w:r>
    </w:p>
    <w:p w14:paraId="1E6453D4" w14:textId="6B3B66EC" w:rsidR="00623245" w:rsidRDefault="00623245" w:rsidP="003C7F4E">
      <w:pPr>
        <w:rPr>
          <w:lang w:val="en-US"/>
        </w:rPr>
      </w:pPr>
      <w:r>
        <w:rPr>
          <w:lang w:val="en-US"/>
        </w:rPr>
        <w:t xml:space="preserve">From our perspective, whilst this issue should be in the future looked at more deeply, </w:t>
      </w:r>
      <w:proofErr w:type="gramStart"/>
      <w:r>
        <w:rPr>
          <w:lang w:val="en-US"/>
        </w:rPr>
        <w:t>carefully</w:t>
      </w:r>
      <w:proofErr w:type="gramEnd"/>
      <w:r>
        <w:rPr>
          <w:lang w:val="en-US"/>
        </w:rPr>
        <w:t xml:space="preserve"> and holistically because it can cause severe </w:t>
      </w:r>
      <w:r w:rsidR="004B1B13">
        <w:rPr>
          <w:lang w:val="en-US"/>
        </w:rPr>
        <w:t xml:space="preserve">damage to future NTN networks, for the time being, </w:t>
      </w:r>
      <w:r w:rsidR="00F816E9">
        <w:rPr>
          <w:lang w:val="en-US"/>
        </w:rPr>
        <w:t xml:space="preserve">cannot realistically be addressed any further due to scope and TU budget limitations. </w:t>
      </w:r>
    </w:p>
    <w:p w14:paraId="18802441" w14:textId="14F91A16" w:rsidR="007E4C47" w:rsidRDefault="00F816E9" w:rsidP="003C7F4E">
      <w:pPr>
        <w:rPr>
          <w:b/>
          <w:bCs/>
          <w:lang w:val="en-US"/>
        </w:rPr>
      </w:pPr>
      <w:r>
        <w:rPr>
          <w:lang w:val="en-US"/>
        </w:rPr>
        <w:t xml:space="preserve">Therefore, we propose to capture the remaining remarks in the specification, </w:t>
      </w:r>
      <w:proofErr w:type="gramStart"/>
      <w:r w:rsidR="009B7027">
        <w:rPr>
          <w:lang w:val="en-US"/>
        </w:rPr>
        <w:t>in order to</w:t>
      </w:r>
      <w:proofErr w:type="gramEnd"/>
      <w:r w:rsidR="009B7027">
        <w:rPr>
          <w:lang w:val="en-US"/>
        </w:rPr>
        <w:t xml:space="preserve"> provide awareness on the issue, whilst at the same time not precluding NTN systems to be deployed in this band’s full range down to 1518 </w:t>
      </w:r>
      <w:proofErr w:type="spellStart"/>
      <w:r w:rsidR="009B7027">
        <w:rPr>
          <w:lang w:val="en-US"/>
        </w:rPr>
        <w:t>MHz.</w:t>
      </w:r>
      <w:proofErr w:type="spellEnd"/>
      <w:r w:rsidR="009B7027">
        <w:rPr>
          <w:lang w:val="en-US"/>
        </w:rPr>
        <w:t xml:space="preserve">  It will be anyways up to the NTN operator to determine how to best operate the network to minimize impact from harmful interference.</w:t>
      </w:r>
    </w:p>
    <w:p w14:paraId="39E4ADA4" w14:textId="628927A5" w:rsidR="003C7F4E" w:rsidRPr="00CE3890" w:rsidRDefault="00CE3890" w:rsidP="003C7F4E">
      <w:pPr>
        <w:rPr>
          <w:b/>
          <w:bCs/>
          <w:lang w:val="en-US"/>
        </w:rPr>
      </w:pPr>
      <w:r>
        <w:rPr>
          <w:b/>
          <w:bCs/>
          <w:lang w:val="en-US"/>
        </w:rPr>
        <w:t>Proposal</w:t>
      </w:r>
      <w:r w:rsidR="00EE0168">
        <w:rPr>
          <w:b/>
          <w:bCs/>
          <w:lang w:val="en-US"/>
        </w:rPr>
        <w:t xml:space="preserve"> 7</w:t>
      </w:r>
      <w:r>
        <w:rPr>
          <w:b/>
          <w:bCs/>
          <w:lang w:val="en-US"/>
        </w:rPr>
        <w:t xml:space="preserve">: Add a note to the specification to </w:t>
      </w:r>
      <w:r w:rsidR="0023184F">
        <w:rPr>
          <w:b/>
          <w:bCs/>
          <w:lang w:val="en-US"/>
        </w:rPr>
        <w:t xml:space="preserve">highlight the risk </w:t>
      </w:r>
      <w:r w:rsidR="002C24E6">
        <w:rPr>
          <w:b/>
          <w:bCs/>
          <w:lang w:val="en-US"/>
        </w:rPr>
        <w:t>of</w:t>
      </w:r>
      <w:r w:rsidR="0023184F">
        <w:rPr>
          <w:b/>
          <w:bCs/>
          <w:lang w:val="en-US"/>
        </w:rPr>
        <w:t xml:space="preserve"> harmful interference and </w:t>
      </w:r>
      <w:r w:rsidR="00A939BE">
        <w:rPr>
          <w:b/>
          <w:bCs/>
          <w:lang w:val="en-US"/>
        </w:rPr>
        <w:t xml:space="preserve">that in some situations, depending on vicinity to TN BS in bands ending at 1517 MHz, the NTN UE with DL </w:t>
      </w:r>
      <w:r w:rsidR="00060DEA">
        <w:rPr>
          <w:b/>
          <w:bCs/>
          <w:lang w:val="en-US"/>
        </w:rPr>
        <w:t xml:space="preserve">operating in EUTRA channels from 1518 MHz to 1520 MHz </w:t>
      </w:r>
      <w:r w:rsidR="00A939BE">
        <w:rPr>
          <w:b/>
          <w:bCs/>
          <w:lang w:val="en-US"/>
        </w:rPr>
        <w:t>might experience</w:t>
      </w:r>
      <w:r w:rsidR="00060DEA">
        <w:rPr>
          <w:b/>
          <w:bCs/>
          <w:lang w:val="en-US"/>
        </w:rPr>
        <w:t xml:space="preserve"> degradation in performance.</w:t>
      </w:r>
      <w:r w:rsidR="0067641F">
        <w:rPr>
          <w:b/>
          <w:bCs/>
          <w:lang w:val="en-US"/>
        </w:rPr>
        <w:t xml:space="preserve">  </w:t>
      </w:r>
    </w:p>
    <w:p w14:paraId="1081261F" w14:textId="77777777" w:rsidR="00A07893" w:rsidRDefault="00A07893" w:rsidP="001703E5">
      <w:pPr>
        <w:rPr>
          <w:lang w:val="en-US"/>
        </w:rPr>
      </w:pPr>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5FCB70AC" w14:textId="0C80B716" w:rsidR="00155346" w:rsidRPr="00155346" w:rsidRDefault="00155346" w:rsidP="00ED643D">
      <w:pPr>
        <w:rPr>
          <w:lang w:val="en-US"/>
        </w:rPr>
      </w:pPr>
      <w:r>
        <w:rPr>
          <w:lang w:val="en-US"/>
        </w:rPr>
        <w:t xml:space="preserve">In this paper we discuss </w:t>
      </w:r>
      <w:r w:rsidR="00DE7F89">
        <w:rPr>
          <w:lang w:val="en-US"/>
        </w:rPr>
        <w:t>additional UE receiver blocking requirements</w:t>
      </w:r>
      <w:r w:rsidR="00693D20">
        <w:rPr>
          <w:lang w:val="en-US"/>
        </w:rPr>
        <w:t xml:space="preserve"> applicable to the Extended L-band:</w:t>
      </w:r>
    </w:p>
    <w:p w14:paraId="2577ADFD" w14:textId="77777777" w:rsidR="00AB3741" w:rsidRDefault="00AB3741" w:rsidP="00AB3741">
      <w:pPr>
        <w:rPr>
          <w:b/>
          <w:bCs/>
          <w:lang w:val="en-US"/>
        </w:rPr>
      </w:pPr>
      <w:r>
        <w:rPr>
          <w:b/>
          <w:bCs/>
          <w:lang w:val="en-US"/>
        </w:rPr>
        <w:t xml:space="preserve">Observation 1: </w:t>
      </w:r>
      <w:r w:rsidRPr="00051698">
        <w:rPr>
          <w:b/>
          <w:bCs/>
          <w:lang w:val="en-US"/>
        </w:rPr>
        <w:t xml:space="preserve">Although the initial focus </w:t>
      </w:r>
      <w:r>
        <w:rPr>
          <w:b/>
          <w:bCs/>
          <w:lang w:val="en-US"/>
        </w:rPr>
        <w:t xml:space="preserve">proposed in the </w:t>
      </w:r>
      <w:r w:rsidRPr="00051698">
        <w:rPr>
          <w:b/>
          <w:bCs/>
          <w:lang w:val="en-US"/>
        </w:rPr>
        <w:t xml:space="preserve">WID was Region 1 [1], the MSS Extended L-band </w:t>
      </w:r>
      <w:r>
        <w:rPr>
          <w:b/>
          <w:bCs/>
          <w:lang w:val="en-US"/>
        </w:rPr>
        <w:t>broadly</w:t>
      </w:r>
      <w:r w:rsidRPr="00051698">
        <w:rPr>
          <w:b/>
          <w:bCs/>
          <w:lang w:val="en-US"/>
        </w:rPr>
        <w:t xml:space="preserve"> has worldwide applicability,</w:t>
      </w:r>
      <w:r>
        <w:rPr>
          <w:b/>
          <w:bCs/>
          <w:lang w:val="en-US"/>
        </w:rPr>
        <w:t xml:space="preserve"> with limited exceptions in specific countries.</w:t>
      </w:r>
    </w:p>
    <w:p w14:paraId="27EF71CB" w14:textId="27ED439A" w:rsidR="00AB3741" w:rsidRDefault="00AB3741" w:rsidP="00AB3741">
      <w:pPr>
        <w:rPr>
          <w:b/>
          <w:bCs/>
          <w:lang w:val="en-US"/>
        </w:rPr>
      </w:pPr>
      <w:r>
        <w:rPr>
          <w:b/>
          <w:bCs/>
          <w:lang w:val="en-US"/>
        </w:rPr>
        <w:t>Observation 2: ECC Reports 263 and 299 identify the benefit of specifying additional receiver blocking requirements in the MSS UE to further protect from blocking signals from terrestrial base stations in adjacent band.</w:t>
      </w:r>
    </w:p>
    <w:p w14:paraId="44C74C95" w14:textId="77777777" w:rsidR="00AB3741" w:rsidRDefault="00AB3741" w:rsidP="00AB3741">
      <w:pPr>
        <w:rPr>
          <w:b/>
          <w:bCs/>
          <w:lang w:val="en-US"/>
        </w:rPr>
      </w:pPr>
      <w:r>
        <w:rPr>
          <w:b/>
          <w:bCs/>
          <w:lang w:val="en-US"/>
        </w:rPr>
        <w:t>Observation 3: It is generally expected that NTN UE supporting Extended L-band (Band 253) will also support Band 255, therefore it is reasonable to assume that a common Rx frontend filter will be used for the DL of 253+255 combined.</w:t>
      </w:r>
    </w:p>
    <w:p w14:paraId="3566D35C" w14:textId="09A52518" w:rsidR="00AB3741" w:rsidRDefault="00AB3741" w:rsidP="00AB3741">
      <w:pPr>
        <w:rPr>
          <w:b/>
          <w:bCs/>
          <w:lang w:val="en-US"/>
        </w:rPr>
      </w:pPr>
      <w:r>
        <w:rPr>
          <w:b/>
          <w:bCs/>
          <w:lang w:val="en-US"/>
        </w:rPr>
        <w:t>Observation 4:</w:t>
      </w:r>
      <w:r>
        <w:rPr>
          <w:b/>
          <w:bCs/>
        </w:rPr>
        <w:t xml:space="preserve"> As highlighted in </w:t>
      </w:r>
      <w:r w:rsidRPr="003C2AC1">
        <w:rPr>
          <w:b/>
          <w:bCs/>
        </w:rPr>
        <w:t>R4-2309506</w:t>
      </w:r>
      <w:r>
        <w:rPr>
          <w:b/>
          <w:bCs/>
        </w:rPr>
        <w:t>, even if we were to define two separate bands, one with the full DL starting at 1518 MHz and one starting at 1520 MHz, it is unlikely that UE with separate Rx RF frontend will be developed as it will cause fragmentation in the ecosystem. As noted in</w:t>
      </w:r>
      <w:r w:rsidRPr="00AF3ED8">
        <w:rPr>
          <w:b/>
          <w:bCs/>
        </w:rPr>
        <w:t xml:space="preserve"> </w:t>
      </w:r>
      <w:r w:rsidRPr="003C2AC1">
        <w:rPr>
          <w:b/>
          <w:bCs/>
        </w:rPr>
        <w:t>R4-2309506</w:t>
      </w:r>
      <w:r>
        <w:rPr>
          <w:b/>
          <w:bCs/>
        </w:rPr>
        <w:t>, “i</w:t>
      </w:r>
      <w:r w:rsidRPr="00AF3ED8">
        <w:rPr>
          <w:b/>
          <w:bCs/>
        </w:rPr>
        <w:t>t should be assumed the UE will carry a common RF front-end between the two bands – this implies that Rx filter will be designed to cover the full band</w:t>
      </w:r>
      <w:r>
        <w:rPr>
          <w:b/>
          <w:bCs/>
        </w:rPr>
        <w:t xml:space="preserve">”.  Therefore, there is virtually no benefit to </w:t>
      </w:r>
      <w:proofErr w:type="gramStart"/>
      <w:r>
        <w:rPr>
          <w:b/>
          <w:bCs/>
        </w:rPr>
        <w:t>actually specifying</w:t>
      </w:r>
      <w:proofErr w:type="gramEnd"/>
      <w:r>
        <w:rPr>
          <w:b/>
          <w:bCs/>
        </w:rPr>
        <w:t xml:space="preserve"> two different bands.</w:t>
      </w:r>
    </w:p>
    <w:p w14:paraId="5E65872F" w14:textId="77777777" w:rsidR="00AB3741" w:rsidRDefault="00AB3741" w:rsidP="00AB3741">
      <w:pPr>
        <w:rPr>
          <w:lang w:val="en-US"/>
        </w:rPr>
      </w:pPr>
      <w:r>
        <w:rPr>
          <w:b/>
          <w:bCs/>
          <w:lang w:val="en-US"/>
        </w:rPr>
        <w:t>Proposal 1: Reuse IoT NTN band 255 core RF requirements as a baseline.  FFS whether the additional receiver blocking requirements to address coexistence with TN bands ending at 1517 MHz and 1512 MHz, as recommended by ECC Report 263 and 299 should be handled as additional requirements or superseding the baseline band 255 requirements.</w:t>
      </w:r>
    </w:p>
    <w:p w14:paraId="48A10AA4" w14:textId="308CB6B7" w:rsidR="00E204DF" w:rsidRDefault="00AB3741" w:rsidP="00ED643D">
      <w:pPr>
        <w:rPr>
          <w:b/>
          <w:bCs/>
          <w:lang w:val="en-US"/>
        </w:rPr>
      </w:pPr>
      <w:r>
        <w:rPr>
          <w:b/>
          <w:bCs/>
          <w:lang w:val="en-US"/>
        </w:rPr>
        <w:lastRenderedPageBreak/>
        <w:t xml:space="preserve">Proposal 2: </w:t>
      </w:r>
      <w:r w:rsidRPr="000975A6">
        <w:rPr>
          <w:b/>
          <w:bCs/>
          <w:lang w:val="en-US"/>
        </w:rPr>
        <w:t>Consider additional UE requirements for ECC countries and any other applicable countries based on ETSI EN 301 681.</w:t>
      </w:r>
    </w:p>
    <w:p w14:paraId="719CC263" w14:textId="77777777" w:rsidR="00AB3741" w:rsidRPr="006F1524" w:rsidRDefault="00AB3741" w:rsidP="00AB3741">
      <w:pPr>
        <w:rPr>
          <w:b/>
          <w:bCs/>
        </w:rPr>
      </w:pPr>
      <w:r>
        <w:rPr>
          <w:b/>
          <w:bCs/>
        </w:rPr>
        <w:t>Proposal 3: Assume a single NTN band 253 will be specified covering the full DL range of 1518-1525 MHz and that the UE RF frontend will align with the 1518 MHz edge.</w:t>
      </w:r>
    </w:p>
    <w:p w14:paraId="104A2678" w14:textId="77777777" w:rsidR="00AB3741" w:rsidRPr="001E590C" w:rsidRDefault="00AB3741" w:rsidP="00AB3741">
      <w:pPr>
        <w:rPr>
          <w:b/>
          <w:bCs/>
          <w:lang w:val="en-US"/>
        </w:rPr>
      </w:pPr>
      <w:r>
        <w:rPr>
          <w:b/>
          <w:bCs/>
          <w:lang w:val="en-US"/>
        </w:rPr>
        <w:t xml:space="preserve">Observation 5: </w:t>
      </w:r>
      <w:r>
        <w:rPr>
          <w:lang w:val="en-US"/>
        </w:rPr>
        <w:t xml:space="preserve"> </w:t>
      </w:r>
      <w:r>
        <w:rPr>
          <w:b/>
          <w:bCs/>
          <w:lang w:val="en-US"/>
        </w:rPr>
        <w:t xml:space="preserve">ECC report suggests that a 5000 m separation between NTN UE and interfering TN BS at 1 MHz away might be enough to keep harmful interference into the NTN UE receiver low at least for low gain land UE.  TR 38.863 assumes a 1500 m geographical separation between NTN UE and edge of the TN cell coverage and a 7500 m ISD for TN deployment, which means the total separation from the TN BS will be [TN cell radius] + 1500m.  If we assume [TN cell radius] </w:t>
      </w:r>
      <w:proofErr w:type="gramStart"/>
      <w:r>
        <w:rPr>
          <w:b/>
          <w:bCs/>
          <w:lang w:val="en-US"/>
        </w:rPr>
        <w:t>=  ISD</w:t>
      </w:r>
      <w:proofErr w:type="gramEnd"/>
      <w:r>
        <w:rPr>
          <w:b/>
          <w:bCs/>
          <w:lang w:val="en-US"/>
        </w:rPr>
        <w:t>/2, this would convert to a total of 3750 + 1500 = 5250 m total separation distance.</w:t>
      </w:r>
    </w:p>
    <w:p w14:paraId="07B296B3" w14:textId="77777777" w:rsidR="00AB3741" w:rsidRPr="00072AF2" w:rsidRDefault="00AB3741" w:rsidP="00AB3741">
      <w:pPr>
        <w:rPr>
          <w:b/>
          <w:bCs/>
          <w:lang w:val="en-US"/>
        </w:rPr>
      </w:pPr>
      <w:r>
        <w:rPr>
          <w:b/>
          <w:bCs/>
          <w:lang w:val="en-US"/>
        </w:rPr>
        <w:t xml:space="preserve">Proposal 4: </w:t>
      </w:r>
      <w:r>
        <w:rPr>
          <w:lang w:val="en-US"/>
        </w:rPr>
        <w:t xml:space="preserve"> </w:t>
      </w:r>
      <w:r>
        <w:rPr>
          <w:b/>
          <w:bCs/>
          <w:lang w:val="en-US"/>
        </w:rPr>
        <w:t>For the time being, re-use TN-NTN coexistence assumptions from TR 38.863, which would yield a total separation distance of 5250 m from TN BS site and NTN UE, at least for low-gain land-based NTN UE, compatible with smartphone and IoT use cases.</w:t>
      </w:r>
    </w:p>
    <w:p w14:paraId="478138CB" w14:textId="77777777" w:rsidR="00EE0168" w:rsidRDefault="00EE0168" w:rsidP="00EE0168">
      <w:pPr>
        <w:rPr>
          <w:b/>
          <w:bCs/>
          <w:lang w:val="en-US"/>
        </w:rPr>
      </w:pPr>
      <w:r>
        <w:rPr>
          <w:b/>
          <w:bCs/>
          <w:lang w:val="en-US"/>
        </w:rPr>
        <w:t xml:space="preserve">Proposal 5:  Specify two different UE blocking requirements within the same operating band 253, one at the band edge of 1518 MHz, expected to align with the UE Rx RF frontend filter edge, another one at the appropriate channel offsets corresponding to the 1520 MHz frequency point.  </w:t>
      </w:r>
    </w:p>
    <w:p w14:paraId="436C8C20" w14:textId="77777777" w:rsidR="00EE0168" w:rsidRDefault="00EE0168" w:rsidP="00EE0168">
      <w:pPr>
        <w:rPr>
          <w:b/>
          <w:bCs/>
          <w:lang w:val="en-US"/>
        </w:rPr>
      </w:pPr>
      <w:r>
        <w:rPr>
          <w:b/>
          <w:bCs/>
          <w:lang w:val="en-US"/>
        </w:rPr>
        <w:t>Proposal 6: With the assumption that the IMT block ends at 1517 MHz, specify the following in-band blocking requirements:</w:t>
      </w:r>
    </w:p>
    <w:p w14:paraId="3648934C" w14:textId="6FF2D588" w:rsidR="00EE0168" w:rsidRDefault="00EE0168" w:rsidP="00EE0168">
      <w:pPr>
        <w:pStyle w:val="ListParagraph"/>
        <w:numPr>
          <w:ilvl w:val="0"/>
          <w:numId w:val="20"/>
        </w:numPr>
        <w:rPr>
          <w:b/>
          <w:bCs/>
          <w:lang w:val="en-US"/>
        </w:rPr>
      </w:pPr>
      <w:r>
        <w:rPr>
          <w:b/>
          <w:bCs/>
          <w:lang w:val="en-US"/>
        </w:rPr>
        <w:t xml:space="preserve">A blocking requirement of </w:t>
      </w:r>
      <w:r w:rsidR="00295005">
        <w:rPr>
          <w:b/>
          <w:bCs/>
          <w:lang w:val="en-US"/>
        </w:rPr>
        <w:t>[</w:t>
      </w:r>
      <w:r w:rsidRPr="00361426">
        <w:rPr>
          <w:b/>
          <w:bCs/>
          <w:lang w:val="en-US"/>
        </w:rPr>
        <w:t>−30dBm/MHz</w:t>
      </w:r>
      <w:r w:rsidR="00295005">
        <w:rPr>
          <w:b/>
          <w:bCs/>
          <w:lang w:val="en-US"/>
        </w:rPr>
        <w:t>]</w:t>
      </w:r>
      <w:r w:rsidRPr="00361426">
        <w:rPr>
          <w:b/>
          <w:bCs/>
          <w:lang w:val="en-US"/>
        </w:rPr>
        <w:t xml:space="preserve"> </w:t>
      </w:r>
      <w:r>
        <w:rPr>
          <w:b/>
          <w:bCs/>
          <w:lang w:val="en-US"/>
        </w:rPr>
        <w:t>aligned with the edge of the band @1518 MHz, to protect the UE NTN receiver from blocking due to out-of-band emissions from TN BS transmissions ending at the 1512 MHz edge.</w:t>
      </w:r>
    </w:p>
    <w:p w14:paraId="1947A520" w14:textId="0180C461" w:rsidR="00EE0168" w:rsidRDefault="00EE0168" w:rsidP="00EE0168">
      <w:pPr>
        <w:pStyle w:val="ListParagraph"/>
        <w:numPr>
          <w:ilvl w:val="0"/>
          <w:numId w:val="20"/>
        </w:numPr>
        <w:rPr>
          <w:b/>
          <w:bCs/>
          <w:lang w:val="en-US"/>
        </w:rPr>
      </w:pPr>
      <w:r>
        <w:rPr>
          <w:b/>
          <w:bCs/>
          <w:lang w:val="en-US"/>
        </w:rPr>
        <w:t>An additional in-band blocking requirement of</w:t>
      </w:r>
      <w:r w:rsidRPr="00361426">
        <w:rPr>
          <w:b/>
          <w:bCs/>
          <w:lang w:val="en-US"/>
        </w:rPr>
        <w:t xml:space="preserve"> </w:t>
      </w:r>
      <w:r w:rsidR="00295005">
        <w:rPr>
          <w:b/>
          <w:bCs/>
          <w:lang w:val="en-US"/>
        </w:rPr>
        <w:t>[</w:t>
      </w:r>
      <w:r w:rsidRPr="00361426">
        <w:rPr>
          <w:b/>
          <w:bCs/>
          <w:lang w:val="en-US"/>
        </w:rPr>
        <w:t>−30dBm/MHz</w:t>
      </w:r>
      <w:r w:rsidR="00295005">
        <w:rPr>
          <w:b/>
          <w:bCs/>
          <w:lang w:val="en-US"/>
        </w:rPr>
        <w:t>]</w:t>
      </w:r>
      <w:r w:rsidRPr="00361426">
        <w:rPr>
          <w:b/>
          <w:bCs/>
          <w:lang w:val="en-US"/>
        </w:rPr>
        <w:t xml:space="preserve"> starting at the corresponding EUTRA channel offset numbers aligned with the 1520 MHz frequency point</w:t>
      </w:r>
      <w:r>
        <w:rPr>
          <w:b/>
          <w:bCs/>
          <w:lang w:val="en-US"/>
        </w:rPr>
        <w:t>, to protect the UE NTN receiver from blocking due to out-of-band emissions from TN BS transmissions ending at the 1517 MHz edge</w:t>
      </w:r>
      <w:r w:rsidRPr="00361426">
        <w:rPr>
          <w:b/>
          <w:bCs/>
          <w:lang w:val="en-US"/>
        </w:rPr>
        <w:t>.</w:t>
      </w:r>
    </w:p>
    <w:p w14:paraId="2FF1FDA7" w14:textId="77777777" w:rsidR="00AB3741" w:rsidRDefault="00AB3741" w:rsidP="00ED643D">
      <w:pPr>
        <w:rPr>
          <w:b/>
          <w:bCs/>
          <w:lang w:val="en-US"/>
        </w:rPr>
      </w:pPr>
    </w:p>
    <w:p w14:paraId="524E2C12" w14:textId="77777777" w:rsidR="00EE0168" w:rsidRPr="00CE3890" w:rsidRDefault="00EE0168" w:rsidP="00EE0168">
      <w:pPr>
        <w:rPr>
          <w:b/>
          <w:bCs/>
          <w:lang w:val="en-US"/>
        </w:rPr>
      </w:pPr>
      <w:r>
        <w:rPr>
          <w:b/>
          <w:bCs/>
          <w:lang w:val="en-US"/>
        </w:rPr>
        <w:t xml:space="preserve">Proposal 7: Add a note to the specification to highlight the risk of harmful interference and that in some situations, depending on vicinity to TN BS in bands ending at 1517 MHz, the NTN UE with DL operating in EUTRA channels from 1518 MHz to 1520 MHz might experience degradation in performance.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77777777" w:rsidR="00194F94" w:rsidRDefault="00194F94" w:rsidP="001F2D1F">
      <w:pPr>
        <w:numPr>
          <w:ilvl w:val="0"/>
          <w:numId w:val="16"/>
        </w:numPr>
        <w:tabs>
          <w:tab w:val="num" w:pos="720"/>
          <w:tab w:val="left" w:pos="1080"/>
        </w:tabs>
        <w:rPr>
          <w:lang w:val="en-US" w:eastAsia="x-none"/>
        </w:rPr>
      </w:pPr>
      <w:bookmarkStart w:id="0" w:name="_Hlk859252"/>
      <w:r w:rsidRPr="00194F94">
        <w:rPr>
          <w:lang w:val="en-US" w:eastAsia="x-none"/>
        </w:rPr>
        <w:t>RP-230790, “New WID on Introduction of the Extended L-band (UL 1668-1675, DL 1518-1525) for IoT NTN,” Inmarsat</w:t>
      </w:r>
      <w:bookmarkEnd w:id="0"/>
    </w:p>
    <w:p w14:paraId="52120C64" w14:textId="2926BE2E" w:rsidR="00BA37D9" w:rsidRDefault="00FE2CF1" w:rsidP="001F2D1F">
      <w:pPr>
        <w:numPr>
          <w:ilvl w:val="0"/>
          <w:numId w:val="16"/>
        </w:numPr>
        <w:tabs>
          <w:tab w:val="num" w:pos="720"/>
          <w:tab w:val="left" w:pos="1080"/>
        </w:tabs>
        <w:rPr>
          <w:lang w:val="en-US" w:eastAsia="x-none"/>
        </w:rPr>
      </w:pPr>
      <w:r w:rsidRPr="00FE2CF1">
        <w:rPr>
          <w:lang w:val="en-US" w:eastAsia="x-none"/>
        </w:rPr>
        <w:t>R4-2306658</w:t>
      </w:r>
      <w:r>
        <w:rPr>
          <w:lang w:val="en-US" w:eastAsia="x-none"/>
        </w:rPr>
        <w:t xml:space="preserve">, </w:t>
      </w:r>
      <w:r w:rsidR="00CF3C34">
        <w:rPr>
          <w:lang w:val="en-US" w:eastAsia="x-none"/>
        </w:rPr>
        <w:t>“</w:t>
      </w:r>
      <w:r w:rsidR="00CF3C34" w:rsidRPr="00CF3C34">
        <w:rPr>
          <w:lang w:val="en-US" w:eastAsia="x-none"/>
        </w:rPr>
        <w:t>WF on IoT NTN Extended L-band</w:t>
      </w:r>
      <w:r w:rsidR="00CF3C34">
        <w:rPr>
          <w:lang w:val="en-US" w:eastAsia="x-none"/>
        </w:rPr>
        <w:t xml:space="preserve">”, </w:t>
      </w:r>
      <w:r w:rsidR="00715333" w:rsidRPr="00715333">
        <w:rPr>
          <w:lang w:val="en-US" w:eastAsia="x-none"/>
        </w:rPr>
        <w:t>Inmarsat</w:t>
      </w:r>
    </w:p>
    <w:p w14:paraId="009ED8A6" w14:textId="62D90559" w:rsidR="00194F94" w:rsidRDefault="00194F94" w:rsidP="001F2D1F">
      <w:pPr>
        <w:numPr>
          <w:ilvl w:val="0"/>
          <w:numId w:val="16"/>
        </w:numPr>
        <w:tabs>
          <w:tab w:val="num" w:pos="720"/>
          <w:tab w:val="left" w:pos="1080"/>
        </w:tabs>
        <w:rPr>
          <w:lang w:val="en-US" w:eastAsia="x-none"/>
        </w:rPr>
      </w:pPr>
      <w:r w:rsidRPr="00194F94">
        <w:rPr>
          <w:lang w:val="en-US" w:eastAsia="x-none"/>
        </w:rPr>
        <w:t xml:space="preserve">ECC Report 263, “Adjacent band compatibility studies between IMT operating in the frequency band 1492-1518 MHz and the MSS operating in the frequency band 1518-1552 MHz,” Approved 03 March 2017. </w:t>
      </w:r>
    </w:p>
    <w:p w14:paraId="3AAF236A" w14:textId="2AFA4B0C" w:rsidR="00CF14BC" w:rsidRPr="003D4F1F" w:rsidRDefault="00CF14BC" w:rsidP="003D4F1F">
      <w:pPr>
        <w:pStyle w:val="ListParagraph"/>
        <w:numPr>
          <w:ilvl w:val="0"/>
          <w:numId w:val="16"/>
        </w:numPr>
        <w:rPr>
          <w:lang w:val="en-US"/>
        </w:rPr>
      </w:pPr>
      <w:r w:rsidRPr="00CF14BC">
        <w:rPr>
          <w:lang w:val="en-US"/>
        </w:rPr>
        <w:t>ECC Report 299</w:t>
      </w:r>
      <w:r>
        <w:rPr>
          <w:lang w:val="en-US"/>
        </w:rPr>
        <w:t xml:space="preserve">, </w:t>
      </w:r>
      <w:r w:rsidR="00BA1641">
        <w:rPr>
          <w:lang w:val="en-US"/>
        </w:rPr>
        <w:t>“</w:t>
      </w:r>
      <w:r w:rsidR="003D4F1F" w:rsidRPr="003D4F1F">
        <w:rPr>
          <w:lang w:val="en-US"/>
        </w:rPr>
        <w:t>Measures to address potential blocking of MES operating in bands adjacent to 1518 MHz (including 1525-1559 MHz) at seaports and airports</w:t>
      </w:r>
      <w:r w:rsidR="00BA1641">
        <w:rPr>
          <w:lang w:val="en-US"/>
        </w:rPr>
        <w:t xml:space="preserve">”, </w:t>
      </w:r>
      <w:r w:rsidR="00BA1641" w:rsidRPr="00BA1641">
        <w:rPr>
          <w:lang w:val="en-US"/>
        </w:rPr>
        <w:t>Approved 8 March 2019</w:t>
      </w:r>
      <w:r w:rsidR="00BA1641">
        <w:rPr>
          <w:lang w:val="en-US"/>
        </w:rPr>
        <w:t>.</w:t>
      </w:r>
    </w:p>
    <w:p w14:paraId="6CFEEE95" w14:textId="291B860F" w:rsidR="00715333" w:rsidRDefault="00715333" w:rsidP="00715333">
      <w:pPr>
        <w:numPr>
          <w:ilvl w:val="0"/>
          <w:numId w:val="16"/>
        </w:numPr>
        <w:tabs>
          <w:tab w:val="num" w:pos="720"/>
          <w:tab w:val="left" w:pos="1080"/>
        </w:tabs>
        <w:rPr>
          <w:lang w:val="en-US" w:eastAsia="x-none"/>
        </w:rPr>
      </w:pPr>
      <w:r w:rsidRPr="00194F94">
        <w:rPr>
          <w:lang w:val="en-US" w:eastAsia="x-none"/>
        </w:rPr>
        <w:t xml:space="preserve">3GPP TR 38.863; Solutions for NR to support </w:t>
      </w:r>
      <w:proofErr w:type="spellStart"/>
      <w:r w:rsidRPr="00194F94">
        <w:rPr>
          <w:lang w:val="en-US" w:eastAsia="x-none"/>
        </w:rPr>
        <w:t>non-terrestrial</w:t>
      </w:r>
      <w:proofErr w:type="spellEnd"/>
      <w:r w:rsidRPr="00194F94">
        <w:rPr>
          <w:lang w:val="en-US" w:eastAsia="x-none"/>
        </w:rPr>
        <w:t xml:space="preserve"> networks (NTN): </w:t>
      </w:r>
      <w:proofErr w:type="spellStart"/>
      <w:r w:rsidRPr="00194F94">
        <w:rPr>
          <w:lang w:val="en-US" w:eastAsia="x-none"/>
        </w:rPr>
        <w:t>Non-terrestrial</w:t>
      </w:r>
      <w:proofErr w:type="spellEnd"/>
      <w:r w:rsidRPr="00194F94">
        <w:rPr>
          <w:lang w:val="en-US" w:eastAsia="x-none"/>
        </w:rPr>
        <w:t xml:space="preserve"> networks (NTN) related RF and co-existence aspects (Release 17)</w:t>
      </w:r>
    </w:p>
    <w:p w14:paraId="1FF2B502" w14:textId="099F599F" w:rsidR="000975A6" w:rsidRPr="000975A6" w:rsidRDefault="000975A6" w:rsidP="000975A6">
      <w:pPr>
        <w:numPr>
          <w:ilvl w:val="0"/>
          <w:numId w:val="16"/>
        </w:numPr>
        <w:tabs>
          <w:tab w:val="left" w:pos="1080"/>
        </w:tabs>
        <w:rPr>
          <w:lang w:val="en-US" w:eastAsia="x-none"/>
        </w:rPr>
      </w:pPr>
      <w:r w:rsidRPr="000975A6">
        <w:rPr>
          <w:lang w:val="en-US" w:eastAsia="x-none"/>
        </w:rPr>
        <w:t>ETSI EN 301 681 V2.1.2 (2016-11)</w:t>
      </w:r>
      <w:r>
        <w:rPr>
          <w:lang w:val="en-US" w:eastAsia="x-none"/>
        </w:rPr>
        <w:t xml:space="preserve">; </w:t>
      </w:r>
      <w:r w:rsidRPr="000975A6">
        <w:rPr>
          <w:lang w:val="en-US" w:eastAsia="x-none"/>
        </w:rPr>
        <w:t>Satellite Earth Stations and Systems (SES</w:t>
      </w:r>
      <w:proofErr w:type="gramStart"/>
      <w:r w:rsidRPr="000975A6">
        <w:rPr>
          <w:lang w:val="en-US" w:eastAsia="x-none"/>
        </w:rPr>
        <w:t>);</w:t>
      </w:r>
      <w:proofErr w:type="spellStart"/>
      <w:r w:rsidRPr="000975A6">
        <w:rPr>
          <w:lang w:val="en-US" w:eastAsia="x-none"/>
        </w:rPr>
        <w:t>Harmonised</w:t>
      </w:r>
      <w:proofErr w:type="spellEnd"/>
      <w:proofErr w:type="gramEnd"/>
      <w:r w:rsidRPr="000975A6">
        <w:rPr>
          <w:lang w:val="en-US" w:eastAsia="x-none"/>
        </w:rPr>
        <w:t xml:space="preserve"> Standard for Mobile Earth Stations (MES) of</w:t>
      </w:r>
      <w:r>
        <w:rPr>
          <w:lang w:val="en-US" w:eastAsia="x-none"/>
        </w:rPr>
        <w:t xml:space="preserve"> </w:t>
      </w:r>
      <w:r w:rsidRPr="000975A6">
        <w:rPr>
          <w:lang w:val="en-US" w:eastAsia="x-none"/>
        </w:rPr>
        <w:t>Geostationary mobile satellite systems, including handheld</w:t>
      </w:r>
      <w:r>
        <w:rPr>
          <w:lang w:val="en-US" w:eastAsia="x-none"/>
        </w:rPr>
        <w:t xml:space="preserve"> </w:t>
      </w:r>
      <w:r w:rsidRPr="000975A6">
        <w:rPr>
          <w:lang w:val="en-US" w:eastAsia="x-none"/>
        </w:rPr>
        <w:t>earth stations, for Satellite Personal Communications</w:t>
      </w:r>
      <w:r>
        <w:rPr>
          <w:lang w:val="en-US" w:eastAsia="x-none"/>
        </w:rPr>
        <w:t xml:space="preserve"> </w:t>
      </w:r>
      <w:r w:rsidRPr="000975A6">
        <w:rPr>
          <w:lang w:val="en-US" w:eastAsia="x-none"/>
        </w:rPr>
        <w:t>Networks (S-PCN) under the Mobile Satellite Service (MSS),</w:t>
      </w:r>
      <w:r>
        <w:rPr>
          <w:lang w:val="en-US" w:eastAsia="x-none"/>
        </w:rPr>
        <w:t xml:space="preserve"> </w:t>
      </w:r>
      <w:r w:rsidRPr="000975A6">
        <w:rPr>
          <w:lang w:val="en-US" w:eastAsia="x-none"/>
        </w:rPr>
        <w:t>operating in the 1,5 GHz and 1,6 GHz</w:t>
      </w:r>
      <w:r>
        <w:rPr>
          <w:lang w:val="en-US" w:eastAsia="x-none"/>
        </w:rPr>
        <w:t xml:space="preserve"> </w:t>
      </w:r>
      <w:r w:rsidRPr="000975A6">
        <w:rPr>
          <w:lang w:val="en-US" w:eastAsia="x-none"/>
        </w:rPr>
        <w:t>frequency bands covering the essential requirements</w:t>
      </w:r>
      <w:r>
        <w:rPr>
          <w:lang w:val="en-US" w:eastAsia="x-none"/>
        </w:rPr>
        <w:t xml:space="preserve"> </w:t>
      </w:r>
      <w:r w:rsidRPr="000975A6">
        <w:rPr>
          <w:lang w:val="en-US" w:eastAsia="x-none"/>
        </w:rPr>
        <w:t>of article 3.2 of the Directive 2014/53/EU</w:t>
      </w:r>
      <w:r>
        <w:rPr>
          <w:lang w:val="en-US" w:eastAsia="x-none"/>
        </w:rPr>
        <w:t>.</w:t>
      </w:r>
    </w:p>
    <w:p w14:paraId="5EED69D7" w14:textId="7AED673F" w:rsidR="00096587" w:rsidRDefault="00096587" w:rsidP="00194F94">
      <w:pPr>
        <w:tabs>
          <w:tab w:val="left" w:pos="1080"/>
        </w:tabs>
        <w:rPr>
          <w:lang w:val="en-US" w:eastAsia="x-none"/>
        </w:rPr>
      </w:pPr>
    </w:p>
    <w:sectPr w:rsidR="00096587" w:rsidSect="00521ED0">
      <w:footerReference w:type="even" r:id="rId18"/>
      <w:footerReference w:type="default" r:id="rId19"/>
      <w:footerReference w:type="firs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7B6C" w14:textId="77777777" w:rsidR="00A21D13" w:rsidRDefault="00A21D13">
      <w:r>
        <w:separator/>
      </w:r>
    </w:p>
  </w:endnote>
  <w:endnote w:type="continuationSeparator" w:id="0">
    <w:p w14:paraId="5D275C1F" w14:textId="77777777" w:rsidR="00A21D13" w:rsidRDefault="00A21D13">
      <w:r>
        <w:continuationSeparator/>
      </w:r>
    </w:p>
  </w:endnote>
  <w:endnote w:type="continuationNotice" w:id="1">
    <w:p w14:paraId="64A541BD" w14:textId="77777777" w:rsidR="00A21D13" w:rsidRDefault="00A21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FA765C0" w:rsidR="00960E3B" w:rsidRDefault="004F7ABE">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13F75FCD" wp14:editId="3BC27AEA">
              <wp:simplePos x="635" y="635"/>
              <wp:positionH relativeFrom="page">
                <wp:align>left</wp:align>
              </wp:positionH>
              <wp:positionV relativeFrom="page">
                <wp:align>bottom</wp:align>
              </wp:positionV>
              <wp:extent cx="443865" cy="443865"/>
              <wp:effectExtent l="0" t="0" r="1270" b="0"/>
              <wp:wrapNone/>
              <wp:docPr id="15" name="Text Box 1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F75FCD" id="_x0000_t202" coordsize="21600,21600" o:spt="202" path="m,l,21600r21600,l21600,xe">
              <v:stroke joinstyle="miter"/>
              <v:path gradientshapeok="t" o:connecttype="rect"/>
            </v:shapetype>
            <v:shape id="Text Box 15"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1EDB7995" w:rsidR="00960E3B" w:rsidRDefault="004F7ABE">
    <w:pPr>
      <w:pStyle w:val="Footer"/>
      <w:ind w:right="360"/>
    </w:pPr>
    <w:r>
      <mc:AlternateContent>
        <mc:Choice Requires="wps">
          <w:drawing>
            <wp:anchor distT="0" distB="0" distL="0" distR="0" simplePos="0" relativeHeight="251660288" behindDoc="0" locked="0" layoutInCell="1" allowOverlap="1" wp14:anchorId="64D412B5" wp14:editId="6BCE549A">
              <wp:simplePos x="635" y="635"/>
              <wp:positionH relativeFrom="page">
                <wp:align>left</wp:align>
              </wp:positionH>
              <wp:positionV relativeFrom="page">
                <wp:align>bottom</wp:align>
              </wp:positionV>
              <wp:extent cx="443865" cy="443865"/>
              <wp:effectExtent l="0" t="0" r="1270" b="0"/>
              <wp:wrapNone/>
              <wp:docPr id="16" name="Text Box 16"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8D5752" w14:textId="305BAE72"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D412B5" id="_x0000_t202" coordsize="21600,21600" o:spt="202" path="m,l,21600r21600,l21600,xe">
              <v:stroke joinstyle="miter"/>
              <v:path gradientshapeok="t" o:connecttype="rect"/>
            </v:shapetype>
            <v:shape id="Text Box 16"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38D5752" w14:textId="305BAE72"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26BE545E" w:rsidR="00B57DA3" w:rsidRDefault="004F7ABE">
    <w:pPr>
      <w:pStyle w:val="Footer"/>
    </w:pPr>
    <w:r>
      <mc:AlternateContent>
        <mc:Choice Requires="wps">
          <w:drawing>
            <wp:anchor distT="0" distB="0" distL="0" distR="0" simplePos="0" relativeHeight="251658240" behindDoc="0" locked="0" layoutInCell="1" allowOverlap="1" wp14:anchorId="6EB77123" wp14:editId="268ED539">
              <wp:simplePos x="635" y="635"/>
              <wp:positionH relativeFrom="page">
                <wp:align>left</wp:align>
              </wp:positionH>
              <wp:positionV relativeFrom="page">
                <wp:align>bottom</wp:align>
              </wp:positionV>
              <wp:extent cx="443865" cy="443865"/>
              <wp:effectExtent l="0" t="0" r="1270" b="0"/>
              <wp:wrapNone/>
              <wp:docPr id="14" name="Text Box 1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77123" id="_x0000_t202" coordsize="21600,21600" o:spt="202" path="m,l,21600r21600,l21600,xe">
              <v:stroke joinstyle="miter"/>
              <v:path gradientshapeok="t" o:connecttype="rect"/>
            </v:shapetype>
            <v:shape id="Text Box 14"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EFAA" w14:textId="77777777" w:rsidR="00A21D13" w:rsidRDefault="00A21D13">
      <w:r>
        <w:separator/>
      </w:r>
    </w:p>
  </w:footnote>
  <w:footnote w:type="continuationSeparator" w:id="0">
    <w:p w14:paraId="2B3DBAD6" w14:textId="77777777" w:rsidR="00A21D13" w:rsidRDefault="00A21D13">
      <w:r>
        <w:continuationSeparator/>
      </w:r>
    </w:p>
  </w:footnote>
  <w:footnote w:type="continuationNotice" w:id="1">
    <w:p w14:paraId="6CE99F4C" w14:textId="77777777" w:rsidR="00A21D13" w:rsidRDefault="00A21D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5E0895"/>
    <w:multiLevelType w:val="hybridMultilevel"/>
    <w:tmpl w:val="F238147A"/>
    <w:lvl w:ilvl="0" w:tplc="10D62C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9"/>
  </w:num>
  <w:num w:numId="2" w16cid:durableId="513963709">
    <w:abstractNumId w:val="14"/>
  </w:num>
  <w:num w:numId="3" w16cid:durableId="30959319">
    <w:abstractNumId w:val="18"/>
  </w:num>
  <w:num w:numId="4" w16cid:durableId="1579515455">
    <w:abstractNumId w:val="19"/>
  </w:num>
  <w:num w:numId="5" w16cid:durableId="1213884486">
    <w:abstractNumId w:val="12"/>
  </w:num>
  <w:num w:numId="6" w16cid:durableId="895549640">
    <w:abstractNumId w:val="6"/>
  </w:num>
  <w:num w:numId="7" w16cid:durableId="1494643654">
    <w:abstractNumId w:val="1"/>
  </w:num>
  <w:num w:numId="8" w16cid:durableId="1777947175">
    <w:abstractNumId w:val="16"/>
  </w:num>
  <w:num w:numId="9" w16cid:durableId="461308997">
    <w:abstractNumId w:val="8"/>
  </w:num>
  <w:num w:numId="10" w16cid:durableId="1624651259">
    <w:abstractNumId w:val="10"/>
  </w:num>
  <w:num w:numId="11" w16cid:durableId="1362783709">
    <w:abstractNumId w:val="20"/>
  </w:num>
  <w:num w:numId="12" w16cid:durableId="1425344883">
    <w:abstractNumId w:val="5"/>
  </w:num>
  <w:num w:numId="13" w16cid:durableId="1491755988">
    <w:abstractNumId w:val="0"/>
  </w:num>
  <w:num w:numId="14" w16cid:durableId="1161502242">
    <w:abstractNumId w:val="15"/>
  </w:num>
  <w:num w:numId="15" w16cid:durableId="661813150">
    <w:abstractNumId w:val="4"/>
  </w:num>
  <w:num w:numId="16" w16cid:durableId="1286886139">
    <w:abstractNumId w:val="3"/>
  </w:num>
  <w:num w:numId="17" w16cid:durableId="343290742">
    <w:abstractNumId w:val="17"/>
  </w:num>
  <w:num w:numId="18" w16cid:durableId="1705055671">
    <w:abstractNumId w:val="7"/>
  </w:num>
  <w:num w:numId="19" w16cid:durableId="854222794">
    <w:abstractNumId w:val="13"/>
  </w:num>
  <w:num w:numId="20" w16cid:durableId="1400399105">
    <w:abstractNumId w:val="11"/>
  </w:num>
  <w:num w:numId="21" w16cid:durableId="37704626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68"/>
    <w:rsid w:val="00001CD0"/>
    <w:rsid w:val="00001E00"/>
    <w:rsid w:val="000020E9"/>
    <w:rsid w:val="00002E5D"/>
    <w:rsid w:val="0000301D"/>
    <w:rsid w:val="000031C8"/>
    <w:rsid w:val="000032F9"/>
    <w:rsid w:val="00003326"/>
    <w:rsid w:val="00003883"/>
    <w:rsid w:val="000042A1"/>
    <w:rsid w:val="000044E8"/>
    <w:rsid w:val="00004852"/>
    <w:rsid w:val="00004A6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1E8"/>
    <w:rsid w:val="0001267B"/>
    <w:rsid w:val="00012960"/>
    <w:rsid w:val="00012B14"/>
    <w:rsid w:val="00012F79"/>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019"/>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28CA"/>
    <w:rsid w:val="00033112"/>
    <w:rsid w:val="00033508"/>
    <w:rsid w:val="0003352E"/>
    <w:rsid w:val="00033656"/>
    <w:rsid w:val="0003375A"/>
    <w:rsid w:val="00033840"/>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B9A"/>
    <w:rsid w:val="00050CD1"/>
    <w:rsid w:val="00051030"/>
    <w:rsid w:val="00051601"/>
    <w:rsid w:val="00051698"/>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0DEA"/>
    <w:rsid w:val="00060FEB"/>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AF2"/>
    <w:rsid w:val="00072C0D"/>
    <w:rsid w:val="00072C4C"/>
    <w:rsid w:val="00072E29"/>
    <w:rsid w:val="000735C0"/>
    <w:rsid w:val="000737DA"/>
    <w:rsid w:val="000748F8"/>
    <w:rsid w:val="00074EBA"/>
    <w:rsid w:val="00074F2C"/>
    <w:rsid w:val="0007555F"/>
    <w:rsid w:val="0007594C"/>
    <w:rsid w:val="00075AFE"/>
    <w:rsid w:val="00075B65"/>
    <w:rsid w:val="0007672D"/>
    <w:rsid w:val="00076BD9"/>
    <w:rsid w:val="00076DB9"/>
    <w:rsid w:val="000771C7"/>
    <w:rsid w:val="0007744C"/>
    <w:rsid w:val="00077FE0"/>
    <w:rsid w:val="000811DC"/>
    <w:rsid w:val="00081509"/>
    <w:rsid w:val="0008183B"/>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587"/>
    <w:rsid w:val="00096860"/>
    <w:rsid w:val="00096C3C"/>
    <w:rsid w:val="000971F6"/>
    <w:rsid w:val="000972E8"/>
    <w:rsid w:val="000974E6"/>
    <w:rsid w:val="000975A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E8"/>
    <w:rsid w:val="000D0992"/>
    <w:rsid w:val="000D09EE"/>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6A"/>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5F44"/>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3DF0"/>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3ECF"/>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2BC"/>
    <w:rsid w:val="00194403"/>
    <w:rsid w:val="00194542"/>
    <w:rsid w:val="00194582"/>
    <w:rsid w:val="00194DEE"/>
    <w:rsid w:val="00194E91"/>
    <w:rsid w:val="00194F94"/>
    <w:rsid w:val="00195007"/>
    <w:rsid w:val="00195150"/>
    <w:rsid w:val="00195647"/>
    <w:rsid w:val="00195E87"/>
    <w:rsid w:val="00196782"/>
    <w:rsid w:val="001968A7"/>
    <w:rsid w:val="00197D1E"/>
    <w:rsid w:val="00197D53"/>
    <w:rsid w:val="00197D5B"/>
    <w:rsid w:val="001A0786"/>
    <w:rsid w:val="001A091D"/>
    <w:rsid w:val="001A0927"/>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678"/>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504C"/>
    <w:rsid w:val="001C5DB8"/>
    <w:rsid w:val="001C6C24"/>
    <w:rsid w:val="001C7538"/>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90C"/>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6AF8"/>
    <w:rsid w:val="0022732E"/>
    <w:rsid w:val="002273B6"/>
    <w:rsid w:val="0022758E"/>
    <w:rsid w:val="00230A56"/>
    <w:rsid w:val="00230BEE"/>
    <w:rsid w:val="00230C94"/>
    <w:rsid w:val="00230EB7"/>
    <w:rsid w:val="00230EC6"/>
    <w:rsid w:val="00230EC9"/>
    <w:rsid w:val="00230FED"/>
    <w:rsid w:val="00231333"/>
    <w:rsid w:val="0023184F"/>
    <w:rsid w:val="0023187B"/>
    <w:rsid w:val="00231913"/>
    <w:rsid w:val="00231BD8"/>
    <w:rsid w:val="00232571"/>
    <w:rsid w:val="0023353F"/>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0D3"/>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6E22"/>
    <w:rsid w:val="002571F0"/>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73"/>
    <w:rsid w:val="002778DC"/>
    <w:rsid w:val="00277B68"/>
    <w:rsid w:val="00277BD4"/>
    <w:rsid w:val="00277F2F"/>
    <w:rsid w:val="002801F7"/>
    <w:rsid w:val="00280813"/>
    <w:rsid w:val="00280882"/>
    <w:rsid w:val="00280AE6"/>
    <w:rsid w:val="00280D5D"/>
    <w:rsid w:val="002810CE"/>
    <w:rsid w:val="00281155"/>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613"/>
    <w:rsid w:val="00290FB2"/>
    <w:rsid w:val="0029101E"/>
    <w:rsid w:val="0029138C"/>
    <w:rsid w:val="00291A1D"/>
    <w:rsid w:val="002921C4"/>
    <w:rsid w:val="0029239C"/>
    <w:rsid w:val="0029286C"/>
    <w:rsid w:val="00292923"/>
    <w:rsid w:val="002932EC"/>
    <w:rsid w:val="002933A0"/>
    <w:rsid w:val="00294E11"/>
    <w:rsid w:val="00295005"/>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3FDE"/>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84F"/>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7F9"/>
    <w:rsid w:val="002B6A74"/>
    <w:rsid w:val="002B6F2C"/>
    <w:rsid w:val="002B75CC"/>
    <w:rsid w:val="002B7883"/>
    <w:rsid w:val="002C034B"/>
    <w:rsid w:val="002C0E6F"/>
    <w:rsid w:val="002C1343"/>
    <w:rsid w:val="002C15A4"/>
    <w:rsid w:val="002C1A95"/>
    <w:rsid w:val="002C2368"/>
    <w:rsid w:val="002C24E6"/>
    <w:rsid w:val="002C260C"/>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970"/>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1E"/>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AEC"/>
    <w:rsid w:val="00346BAD"/>
    <w:rsid w:val="00346D70"/>
    <w:rsid w:val="00346FFE"/>
    <w:rsid w:val="0034707D"/>
    <w:rsid w:val="00347822"/>
    <w:rsid w:val="00347867"/>
    <w:rsid w:val="003478F5"/>
    <w:rsid w:val="00347A4B"/>
    <w:rsid w:val="00347FF7"/>
    <w:rsid w:val="003503EA"/>
    <w:rsid w:val="0035071D"/>
    <w:rsid w:val="00350756"/>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26"/>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734"/>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AC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C7F4E"/>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4A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AA1"/>
    <w:rsid w:val="00400048"/>
    <w:rsid w:val="004004FB"/>
    <w:rsid w:val="00400A7A"/>
    <w:rsid w:val="00400EC1"/>
    <w:rsid w:val="0040149D"/>
    <w:rsid w:val="00401E4A"/>
    <w:rsid w:val="004021FE"/>
    <w:rsid w:val="00402A31"/>
    <w:rsid w:val="00403F04"/>
    <w:rsid w:val="00404369"/>
    <w:rsid w:val="004045B3"/>
    <w:rsid w:val="00404FCE"/>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FB7"/>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1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699"/>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ABE"/>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4FBF"/>
    <w:rsid w:val="005250F6"/>
    <w:rsid w:val="005254F6"/>
    <w:rsid w:val="00525E31"/>
    <w:rsid w:val="00525E5D"/>
    <w:rsid w:val="00526031"/>
    <w:rsid w:val="005266E8"/>
    <w:rsid w:val="00526D84"/>
    <w:rsid w:val="00526EDC"/>
    <w:rsid w:val="0052707B"/>
    <w:rsid w:val="005275D0"/>
    <w:rsid w:val="0052782A"/>
    <w:rsid w:val="0052785A"/>
    <w:rsid w:val="005279C9"/>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C85"/>
    <w:rsid w:val="00563E46"/>
    <w:rsid w:val="00563ECF"/>
    <w:rsid w:val="00563F76"/>
    <w:rsid w:val="005648D7"/>
    <w:rsid w:val="005648E6"/>
    <w:rsid w:val="0056532B"/>
    <w:rsid w:val="00565824"/>
    <w:rsid w:val="0056583B"/>
    <w:rsid w:val="00565866"/>
    <w:rsid w:val="0056591A"/>
    <w:rsid w:val="00566347"/>
    <w:rsid w:val="00566562"/>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45AA"/>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4B9"/>
    <w:rsid w:val="005845D5"/>
    <w:rsid w:val="005849B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BE1"/>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C9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28B"/>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781"/>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5DE"/>
    <w:rsid w:val="005F3649"/>
    <w:rsid w:val="005F37AF"/>
    <w:rsid w:val="005F3CB3"/>
    <w:rsid w:val="005F3EB7"/>
    <w:rsid w:val="005F412F"/>
    <w:rsid w:val="005F4315"/>
    <w:rsid w:val="005F4518"/>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A01"/>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245"/>
    <w:rsid w:val="0062340D"/>
    <w:rsid w:val="00623646"/>
    <w:rsid w:val="00623CCC"/>
    <w:rsid w:val="00623D8D"/>
    <w:rsid w:val="00623FDF"/>
    <w:rsid w:val="0062416F"/>
    <w:rsid w:val="006241B8"/>
    <w:rsid w:val="00624A10"/>
    <w:rsid w:val="00624C98"/>
    <w:rsid w:val="00624E83"/>
    <w:rsid w:val="00624FD9"/>
    <w:rsid w:val="006252F1"/>
    <w:rsid w:val="00625485"/>
    <w:rsid w:val="0062559A"/>
    <w:rsid w:val="00625715"/>
    <w:rsid w:val="006258FC"/>
    <w:rsid w:val="0062606D"/>
    <w:rsid w:val="006261CB"/>
    <w:rsid w:val="0062624E"/>
    <w:rsid w:val="006266D7"/>
    <w:rsid w:val="006268EE"/>
    <w:rsid w:val="00627237"/>
    <w:rsid w:val="00627366"/>
    <w:rsid w:val="006273B4"/>
    <w:rsid w:val="00627A76"/>
    <w:rsid w:val="00627FEB"/>
    <w:rsid w:val="006304F0"/>
    <w:rsid w:val="00630AAF"/>
    <w:rsid w:val="00630FB1"/>
    <w:rsid w:val="006312FE"/>
    <w:rsid w:val="00631561"/>
    <w:rsid w:val="0063190E"/>
    <w:rsid w:val="00631917"/>
    <w:rsid w:val="00631C81"/>
    <w:rsid w:val="00631DBE"/>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438"/>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1B6"/>
    <w:rsid w:val="00647324"/>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1F"/>
    <w:rsid w:val="0067642D"/>
    <w:rsid w:val="0067698A"/>
    <w:rsid w:val="00676C5E"/>
    <w:rsid w:val="00676DCA"/>
    <w:rsid w:val="00677165"/>
    <w:rsid w:val="006771D9"/>
    <w:rsid w:val="006773FE"/>
    <w:rsid w:val="006775CE"/>
    <w:rsid w:val="0067770C"/>
    <w:rsid w:val="00677A19"/>
    <w:rsid w:val="00677BA5"/>
    <w:rsid w:val="00677BF1"/>
    <w:rsid w:val="006801B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836"/>
    <w:rsid w:val="006B69D5"/>
    <w:rsid w:val="006B6DAA"/>
    <w:rsid w:val="006B70F3"/>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0FDA"/>
    <w:rsid w:val="006D13CB"/>
    <w:rsid w:val="006D1A7B"/>
    <w:rsid w:val="006D1F33"/>
    <w:rsid w:val="006D2020"/>
    <w:rsid w:val="006D32D6"/>
    <w:rsid w:val="006D36D5"/>
    <w:rsid w:val="006D3D0F"/>
    <w:rsid w:val="006D4101"/>
    <w:rsid w:val="006D4A36"/>
    <w:rsid w:val="006D4A70"/>
    <w:rsid w:val="006D5023"/>
    <w:rsid w:val="006D538E"/>
    <w:rsid w:val="006D54CC"/>
    <w:rsid w:val="006D5C25"/>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4F20"/>
    <w:rsid w:val="006E5206"/>
    <w:rsid w:val="006E5807"/>
    <w:rsid w:val="006E5BD1"/>
    <w:rsid w:val="006E6FE5"/>
    <w:rsid w:val="006E7595"/>
    <w:rsid w:val="006E778F"/>
    <w:rsid w:val="006E7859"/>
    <w:rsid w:val="006F0329"/>
    <w:rsid w:val="006F0ACE"/>
    <w:rsid w:val="006F1524"/>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55"/>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F90"/>
    <w:rsid w:val="007633E7"/>
    <w:rsid w:val="007635FF"/>
    <w:rsid w:val="007642EB"/>
    <w:rsid w:val="0076433C"/>
    <w:rsid w:val="007645AE"/>
    <w:rsid w:val="007646C3"/>
    <w:rsid w:val="00764ABF"/>
    <w:rsid w:val="00764DE5"/>
    <w:rsid w:val="00764F6B"/>
    <w:rsid w:val="00765328"/>
    <w:rsid w:val="00765B49"/>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8C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1ED"/>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5BC6"/>
    <w:rsid w:val="007D6346"/>
    <w:rsid w:val="007D6988"/>
    <w:rsid w:val="007D6CE6"/>
    <w:rsid w:val="007D759E"/>
    <w:rsid w:val="007D75E3"/>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C47"/>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ABE"/>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67D"/>
    <w:rsid w:val="0082727D"/>
    <w:rsid w:val="008272EC"/>
    <w:rsid w:val="00827B7C"/>
    <w:rsid w:val="00827F68"/>
    <w:rsid w:val="008302A1"/>
    <w:rsid w:val="0083059D"/>
    <w:rsid w:val="00830633"/>
    <w:rsid w:val="00830716"/>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1C4"/>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8D1"/>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0BB"/>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4F"/>
    <w:rsid w:val="008F33AA"/>
    <w:rsid w:val="008F38FD"/>
    <w:rsid w:val="008F42BF"/>
    <w:rsid w:val="008F455D"/>
    <w:rsid w:val="008F4EFB"/>
    <w:rsid w:val="008F503E"/>
    <w:rsid w:val="008F532F"/>
    <w:rsid w:val="008F5B0A"/>
    <w:rsid w:val="008F5C51"/>
    <w:rsid w:val="008F5EA6"/>
    <w:rsid w:val="008F6101"/>
    <w:rsid w:val="008F647C"/>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12"/>
    <w:rsid w:val="00915E74"/>
    <w:rsid w:val="00916213"/>
    <w:rsid w:val="0091641F"/>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A8D"/>
    <w:rsid w:val="00932BBB"/>
    <w:rsid w:val="00932BEF"/>
    <w:rsid w:val="00932D2F"/>
    <w:rsid w:val="00932D51"/>
    <w:rsid w:val="00932FA8"/>
    <w:rsid w:val="00933303"/>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945"/>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7B8"/>
    <w:rsid w:val="00972D53"/>
    <w:rsid w:val="00972F05"/>
    <w:rsid w:val="00973219"/>
    <w:rsid w:val="0097348A"/>
    <w:rsid w:val="0097388F"/>
    <w:rsid w:val="00973EDC"/>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0B"/>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573"/>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027"/>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587"/>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A9D"/>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D4"/>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07893"/>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6CD"/>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563"/>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2E85"/>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BE"/>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118"/>
    <w:rsid w:val="00AA0386"/>
    <w:rsid w:val="00AA04D8"/>
    <w:rsid w:val="00AA07FC"/>
    <w:rsid w:val="00AA145D"/>
    <w:rsid w:val="00AA1A94"/>
    <w:rsid w:val="00AA1CC0"/>
    <w:rsid w:val="00AA1ED0"/>
    <w:rsid w:val="00AA23BD"/>
    <w:rsid w:val="00AA2A27"/>
    <w:rsid w:val="00AA3476"/>
    <w:rsid w:val="00AA397A"/>
    <w:rsid w:val="00AA397D"/>
    <w:rsid w:val="00AA3B54"/>
    <w:rsid w:val="00AA3D1F"/>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0E8D"/>
    <w:rsid w:val="00AB122A"/>
    <w:rsid w:val="00AB1254"/>
    <w:rsid w:val="00AB19DD"/>
    <w:rsid w:val="00AB1A37"/>
    <w:rsid w:val="00AB1AAE"/>
    <w:rsid w:val="00AB21F9"/>
    <w:rsid w:val="00AB243F"/>
    <w:rsid w:val="00AB3191"/>
    <w:rsid w:val="00AB374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0FA5"/>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22E"/>
    <w:rsid w:val="00AE5463"/>
    <w:rsid w:val="00AE565B"/>
    <w:rsid w:val="00AE5CBE"/>
    <w:rsid w:val="00AE60C6"/>
    <w:rsid w:val="00AE66D5"/>
    <w:rsid w:val="00AE682B"/>
    <w:rsid w:val="00AE6837"/>
    <w:rsid w:val="00AE6881"/>
    <w:rsid w:val="00AE6BE7"/>
    <w:rsid w:val="00AE6EC4"/>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3ED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53E3"/>
    <w:rsid w:val="00B157E5"/>
    <w:rsid w:val="00B1623F"/>
    <w:rsid w:val="00B162B7"/>
    <w:rsid w:val="00B16ACD"/>
    <w:rsid w:val="00B16BF4"/>
    <w:rsid w:val="00B17238"/>
    <w:rsid w:val="00B1781B"/>
    <w:rsid w:val="00B178CA"/>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4F3"/>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1B56"/>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79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A7F"/>
    <w:rsid w:val="00B93D6F"/>
    <w:rsid w:val="00B93E60"/>
    <w:rsid w:val="00B94097"/>
    <w:rsid w:val="00B94414"/>
    <w:rsid w:val="00B944C8"/>
    <w:rsid w:val="00B94657"/>
    <w:rsid w:val="00B94753"/>
    <w:rsid w:val="00B947A2"/>
    <w:rsid w:val="00B94B09"/>
    <w:rsid w:val="00B94C45"/>
    <w:rsid w:val="00B94DD0"/>
    <w:rsid w:val="00B94F52"/>
    <w:rsid w:val="00B9536D"/>
    <w:rsid w:val="00B95415"/>
    <w:rsid w:val="00B9579A"/>
    <w:rsid w:val="00B958FF"/>
    <w:rsid w:val="00B95AB8"/>
    <w:rsid w:val="00B9657C"/>
    <w:rsid w:val="00B96769"/>
    <w:rsid w:val="00B9699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0D"/>
    <w:rsid w:val="00BA3436"/>
    <w:rsid w:val="00BA34C9"/>
    <w:rsid w:val="00BA37D9"/>
    <w:rsid w:val="00BA38B6"/>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46F"/>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35F"/>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5A3"/>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117"/>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4E0"/>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83D"/>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D13"/>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19D"/>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6B4"/>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496"/>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0E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890"/>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C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2F"/>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28D"/>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0CF6"/>
    <w:rsid w:val="00D717A6"/>
    <w:rsid w:val="00D717E6"/>
    <w:rsid w:val="00D718C7"/>
    <w:rsid w:val="00D71FCA"/>
    <w:rsid w:val="00D730B4"/>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77D2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18F"/>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E7F89"/>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2EA"/>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531"/>
    <w:rsid w:val="00E12A81"/>
    <w:rsid w:val="00E12E73"/>
    <w:rsid w:val="00E131BE"/>
    <w:rsid w:val="00E13333"/>
    <w:rsid w:val="00E134C9"/>
    <w:rsid w:val="00E13CE9"/>
    <w:rsid w:val="00E13E4D"/>
    <w:rsid w:val="00E13EDC"/>
    <w:rsid w:val="00E141C0"/>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249B"/>
    <w:rsid w:val="00E233C0"/>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5FC"/>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D22"/>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A21"/>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0E9"/>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168"/>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4B7"/>
    <w:rsid w:val="00F00AED"/>
    <w:rsid w:val="00F00C6A"/>
    <w:rsid w:val="00F00CB7"/>
    <w:rsid w:val="00F00F67"/>
    <w:rsid w:val="00F01AFB"/>
    <w:rsid w:val="00F01E60"/>
    <w:rsid w:val="00F023E8"/>
    <w:rsid w:val="00F02502"/>
    <w:rsid w:val="00F02647"/>
    <w:rsid w:val="00F0346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9E5"/>
    <w:rsid w:val="00F13B95"/>
    <w:rsid w:val="00F140FE"/>
    <w:rsid w:val="00F14195"/>
    <w:rsid w:val="00F1436C"/>
    <w:rsid w:val="00F1468E"/>
    <w:rsid w:val="00F1471D"/>
    <w:rsid w:val="00F14CD9"/>
    <w:rsid w:val="00F1506C"/>
    <w:rsid w:val="00F15511"/>
    <w:rsid w:val="00F1596A"/>
    <w:rsid w:val="00F15E2E"/>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57CA5"/>
    <w:rsid w:val="00F60331"/>
    <w:rsid w:val="00F609D9"/>
    <w:rsid w:val="00F60A94"/>
    <w:rsid w:val="00F6167A"/>
    <w:rsid w:val="00F61733"/>
    <w:rsid w:val="00F6225F"/>
    <w:rsid w:val="00F622F3"/>
    <w:rsid w:val="00F6274A"/>
    <w:rsid w:val="00F62B53"/>
    <w:rsid w:val="00F62CBF"/>
    <w:rsid w:val="00F64049"/>
    <w:rsid w:val="00F645DF"/>
    <w:rsid w:val="00F65345"/>
    <w:rsid w:val="00F65B2A"/>
    <w:rsid w:val="00F65E8D"/>
    <w:rsid w:val="00F65FBB"/>
    <w:rsid w:val="00F66144"/>
    <w:rsid w:val="00F662CA"/>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6E9"/>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0F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B22"/>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A01"/>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130"/>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C3F92-9F23-4835-ABDF-44E3D947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2374</TotalTime>
  <Pages>6</Pages>
  <Words>3152</Words>
  <Characters>15557</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151</cp:revision>
  <cp:lastPrinted>2017-09-11T16:45:00Z</cp:lastPrinted>
  <dcterms:created xsi:type="dcterms:W3CDTF">2023-08-12T07:20:00Z</dcterms:created>
  <dcterms:modified xsi:type="dcterms:W3CDTF">2023-08-14T12:49:00Z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lassificationContentMarkingFooterShapeIds">
    <vt:lpwstr>e,f,10</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y fmtid="{D5CDD505-2E9C-101B-9397-08002B2CF9AE}" pid="19" name="ContentTypeId">
    <vt:lpwstr>0x010100B98573469650B343AF314866C5FCEB84</vt:lpwstr>
  </property>
  <property fmtid="{D5CDD505-2E9C-101B-9397-08002B2CF9AE}" pid="20" name="MediaServiceImageTags">
    <vt:lpwstr/>
  </property>
</Properties>
</file>